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C5E2" w14:textId="37AE65C5" w:rsidR="002D2B52" w:rsidRPr="00F7090A" w:rsidRDefault="007D6F37" w:rsidP="00E81DC2">
      <w:pPr>
        <w:pStyle w:val="Titre1"/>
      </w:pPr>
      <w:r>
        <w:t>La</w:t>
      </w:r>
      <w:r w:rsidR="00CC42E0">
        <w:t xml:space="preserve"> </w:t>
      </w:r>
      <w:r w:rsidR="00474E9A">
        <w:t>métropole</w:t>
      </w:r>
      <w:r w:rsidR="00CC42E0">
        <w:t xml:space="preserve"> patrimoniale</w:t>
      </w:r>
      <w:r w:rsidR="00E81DC2">
        <w:br/>
        <w:t>L</w:t>
      </w:r>
      <w:r w:rsidR="00474E9A">
        <w:t>es dessous de la</w:t>
      </w:r>
      <w:r w:rsidR="005B1DFD">
        <w:t xml:space="preserve"> </w:t>
      </w:r>
      <w:r w:rsidR="002D2B52">
        <w:t xml:space="preserve">Cité </w:t>
      </w:r>
      <w:r w:rsidR="00B47FFB">
        <w:t xml:space="preserve">internationale </w:t>
      </w:r>
      <w:r w:rsidR="002D2B52">
        <w:t>de la Gastronomie</w:t>
      </w:r>
      <w:r w:rsidR="00B47FFB">
        <w:t xml:space="preserve"> et du Vin </w:t>
      </w:r>
    </w:p>
    <w:p w14:paraId="1F0F8A6D" w14:textId="44E83D4E" w:rsidR="005E300B" w:rsidRDefault="002D2B52">
      <w:r>
        <w:t>L</w:t>
      </w:r>
      <w:r w:rsidR="00077950">
        <w:t>e patrimoine est un opérateur particulièrement prisé dans l</w:t>
      </w:r>
      <w:r w:rsidR="00E75D75">
        <w:t xml:space="preserve">es </w:t>
      </w:r>
      <w:r>
        <w:t>processus</w:t>
      </w:r>
      <w:r w:rsidR="00E75D75">
        <w:t xml:space="preserve"> de </w:t>
      </w:r>
      <w:r w:rsidR="00C07569">
        <w:t>régulation</w:t>
      </w:r>
      <w:r w:rsidR="00E75D75">
        <w:t>, de contrôle et d</w:t>
      </w:r>
      <w:r w:rsidR="00C07569">
        <w:t>’</w:t>
      </w:r>
      <w:r w:rsidR="00E75D75">
        <w:t>aménagement de l’espace urbain</w:t>
      </w:r>
      <w:r w:rsidR="00077950">
        <w:t xml:space="preserve"> que désigne le terme de métropole</w:t>
      </w:r>
      <w:r w:rsidR="00E75D75">
        <w:t xml:space="preserve">. </w:t>
      </w:r>
      <w:r w:rsidR="00077950">
        <w:t>Le cas de la C</w:t>
      </w:r>
      <w:r w:rsidR="00E75D75">
        <w:t xml:space="preserve">ité </w:t>
      </w:r>
      <w:r w:rsidR="00077950">
        <w:t xml:space="preserve">Internationale </w:t>
      </w:r>
      <w:r w:rsidR="00E75D75">
        <w:t>de la gastronomie</w:t>
      </w:r>
      <w:r w:rsidR="00077950">
        <w:t xml:space="preserve"> </w:t>
      </w:r>
      <w:r w:rsidR="00EC79A5">
        <w:t>et du vin (CIGV)</w:t>
      </w:r>
      <w:r w:rsidR="00E75D75">
        <w:t xml:space="preserve">, </w:t>
      </w:r>
      <w:r w:rsidR="00077950">
        <w:t>en cours de construction à Dijon, en est particulièremen</w:t>
      </w:r>
      <w:r w:rsidR="002929F5">
        <w:t xml:space="preserve">t exemplaire, même s’il ne peut </w:t>
      </w:r>
      <w:r w:rsidR="002929F5" w:rsidRPr="00D10630">
        <w:rPr>
          <w:i/>
        </w:rPr>
        <w:t>a priori</w:t>
      </w:r>
      <w:r w:rsidR="002929F5">
        <w:t xml:space="preserve"> </w:t>
      </w:r>
      <w:r w:rsidR="00077950">
        <w:t>être réduit à une simple affaire de patrimoine</w:t>
      </w:r>
      <w:r w:rsidR="002929F5">
        <w:t>, sauf à considérer l’accomplissement, de nos jour, de liens entre patrimoine et capitalisme</w:t>
      </w:r>
      <w:r w:rsidR="00E75D75">
        <w:t xml:space="preserve">. </w:t>
      </w:r>
      <w:r w:rsidR="00077950">
        <w:t>Disons que la C</w:t>
      </w:r>
      <w:r w:rsidR="00EC79A5">
        <w:t xml:space="preserve">IGV </w:t>
      </w:r>
      <w:r w:rsidR="00E75D75">
        <w:t>se con</w:t>
      </w:r>
      <w:r w:rsidR="00EC79A5">
        <w:t xml:space="preserve">struit sur un socle patrimonial </w:t>
      </w:r>
      <w:r w:rsidR="002929F5">
        <w:t>qui a</w:t>
      </w:r>
      <w:r w:rsidR="00EC79A5">
        <w:t xml:space="preserve"> </w:t>
      </w:r>
      <w:r w:rsidR="002929F5">
        <w:t>pour</w:t>
      </w:r>
      <w:r w:rsidR="00E75D75">
        <w:t xml:space="preserve"> particularité</w:t>
      </w:r>
      <w:r w:rsidR="00EC79A5">
        <w:t>s</w:t>
      </w:r>
      <w:r w:rsidR="002929F5">
        <w:t xml:space="preserve">, </w:t>
      </w:r>
      <w:r w:rsidR="00EC79A5">
        <w:t>d’une part</w:t>
      </w:r>
      <w:r w:rsidR="002929F5">
        <w:t>,</w:t>
      </w:r>
      <w:r w:rsidR="00E75D75">
        <w:t xml:space="preserve"> d’être neutre et consensuel, comme est censé l’être tout objet patrimonial</w:t>
      </w:r>
      <w:r w:rsidR="00EC79A5">
        <w:t>, d’autre part</w:t>
      </w:r>
      <w:r w:rsidR="002929F5">
        <w:t>,</w:t>
      </w:r>
      <w:r w:rsidR="00EC79A5">
        <w:t xml:space="preserve"> </w:t>
      </w:r>
      <w:r w:rsidR="002929F5">
        <w:t xml:space="preserve">de </w:t>
      </w:r>
      <w:r w:rsidR="00EC79A5">
        <w:t>se prêter au développement d’une économie de l’enrichissement</w:t>
      </w:r>
      <w:r w:rsidR="002929F5">
        <w:rPr>
          <w:rStyle w:val="Marquenotebasdepage"/>
        </w:rPr>
        <w:footnoteReference w:id="1"/>
      </w:r>
      <w:r w:rsidR="00EC79A5">
        <w:t xml:space="preserve"> fondé sur le « marquage » (</w:t>
      </w:r>
      <w:r w:rsidR="00EC79A5" w:rsidRPr="00EC79A5">
        <w:rPr>
          <w:i/>
        </w:rPr>
        <w:t>branding</w:t>
      </w:r>
      <w:r w:rsidR="00EC79A5">
        <w:t>) et la mise en concurrence des territoires</w:t>
      </w:r>
      <w:r w:rsidR="00E75D75">
        <w:t>.</w:t>
      </w:r>
      <w:r w:rsidR="00172B64">
        <w:t xml:space="preserve"> En </w:t>
      </w:r>
      <w:r w:rsidR="00EC79A5">
        <w:t>d’autres termes,</w:t>
      </w:r>
      <w:r w:rsidR="00172B64">
        <w:t xml:space="preserve"> j</w:t>
      </w:r>
      <w:r w:rsidR="000D4083">
        <w:t>’avancerai l’idée</w:t>
      </w:r>
      <w:r w:rsidR="00172B64">
        <w:t xml:space="preserve"> </w:t>
      </w:r>
      <w:r w:rsidR="002929F5">
        <w:t xml:space="preserve">d’un </w:t>
      </w:r>
      <w:r w:rsidR="00172B64">
        <w:t>arraisonnement patrimonial</w:t>
      </w:r>
      <w:r w:rsidR="009A4E66">
        <w:t xml:space="preserve"> des pratiques alimentaires</w:t>
      </w:r>
      <w:r w:rsidR="00F607B2">
        <w:t> : l</w:t>
      </w:r>
      <w:r w:rsidR="00627CFF">
        <w:t>a question est alors de comprendre comment le patrimoine est mobilisé et est susceptible de contribuer</w:t>
      </w:r>
      <w:r w:rsidR="00265587">
        <w:t xml:space="preserve"> à</w:t>
      </w:r>
      <w:r w:rsidR="00E33EA6">
        <w:t xml:space="preserve"> l’objectif d’autosuffisance alimentaire </w:t>
      </w:r>
      <w:r w:rsidR="000D4083">
        <w:t>visé par la « métropole » dijonnaise</w:t>
      </w:r>
      <w:r w:rsidR="00172B64">
        <w:t>.</w:t>
      </w:r>
      <w:r w:rsidR="009A4E66">
        <w:t xml:space="preserve"> De</w:t>
      </w:r>
      <w:r w:rsidR="009D6147">
        <w:t xml:space="preserve"> ce point de vue, </w:t>
      </w:r>
      <w:r w:rsidR="00B111A3" w:rsidRPr="00B111A3">
        <w:t>l’</w:t>
      </w:r>
      <w:r w:rsidR="009D6147" w:rsidRPr="00B111A3">
        <w:t>arraisonnement des esprits au moyen d’images culturelles, en l’occurrence patrimoniales, destinées à conforter le sentiment d’une unité, d’une cohérence et d</w:t>
      </w:r>
      <w:r w:rsidR="00B111A3" w:rsidRPr="00B111A3">
        <w:t>’une attractivité territoriales, peut être vu comme un pendant à l’arraisonnement du foncier, mené à cette fin.</w:t>
      </w:r>
    </w:p>
    <w:p w14:paraId="5379F654" w14:textId="6FA96738" w:rsidR="00E81DC2" w:rsidRDefault="00E81DC2" w:rsidP="00E81DC2">
      <w:pPr>
        <w:pStyle w:val="Titre2"/>
      </w:pPr>
      <w:r>
        <w:t>La gastronomie, un art populaire ?</w:t>
      </w:r>
    </w:p>
    <w:p w14:paraId="5C4A0128" w14:textId="3CE6CBA4" w:rsidR="00A02E45" w:rsidRDefault="00EC79A5" w:rsidP="000D4083">
      <w:pPr>
        <w:ind w:firstLine="284"/>
      </w:pPr>
      <w:r>
        <w:t xml:space="preserve">Il faut </w:t>
      </w:r>
      <w:r w:rsidR="00627CFF">
        <w:t>alors</w:t>
      </w:r>
      <w:r>
        <w:t xml:space="preserve"> dire quelques mots quant à la </w:t>
      </w:r>
      <w:r w:rsidR="002929F5">
        <w:t>spécificité</w:t>
      </w:r>
      <w:r>
        <w:t xml:space="preserve"> </w:t>
      </w:r>
      <w:r w:rsidR="009D6147">
        <w:t xml:space="preserve">et à l’efficace </w:t>
      </w:r>
      <w:r>
        <w:t xml:space="preserve">du socle patrimonial, le </w:t>
      </w:r>
      <w:r w:rsidR="000D4083">
        <w:t>« R</w:t>
      </w:r>
      <w:r>
        <w:t>epas Gastronomique des Français</w:t>
      </w:r>
      <w:r w:rsidR="000D4083">
        <w:t> »</w:t>
      </w:r>
      <w:r w:rsidR="00CC42E0">
        <w:t xml:space="preserve"> (RGF)</w:t>
      </w:r>
      <w:r w:rsidR="000D4083">
        <w:t>, élément inscrit en 2010 sur la liste représentative du patrimoine culturel immatériel, dont la gestion relève de l’Unesco</w:t>
      </w:r>
      <w:r w:rsidR="00826BDC">
        <w:rPr>
          <w:rStyle w:val="Marquenotebasdepage"/>
        </w:rPr>
        <w:footnoteReference w:id="2"/>
      </w:r>
      <w:r w:rsidR="000D4083">
        <w:t xml:space="preserve">. </w:t>
      </w:r>
      <w:r w:rsidR="00627CFF">
        <w:t>L</w:t>
      </w:r>
      <w:r w:rsidR="000D4083">
        <w:t>a catégorie de patrimoine</w:t>
      </w:r>
      <w:r w:rsidR="00AE0424">
        <w:t xml:space="preserve"> culturel immatériel, officialisée et mise en œuvre </w:t>
      </w:r>
      <w:r w:rsidR="00265587">
        <w:t xml:space="preserve">à partir de 2003 </w:t>
      </w:r>
      <w:r w:rsidR="00AE0424">
        <w:t>d</w:t>
      </w:r>
      <w:r w:rsidR="00265587">
        <w:t xml:space="preserve">ans un instrument international, la Convention </w:t>
      </w:r>
      <w:r w:rsidR="005148D8">
        <w:t xml:space="preserve">pour la sauvegarde du </w:t>
      </w:r>
      <w:r w:rsidR="00265587">
        <w:t>patrimoine culturel immatériel, à portée règlementaire pour les États</w:t>
      </w:r>
      <w:r w:rsidR="00295B06">
        <w:t xml:space="preserve"> qui la</w:t>
      </w:r>
      <w:r w:rsidR="00265587">
        <w:t xml:space="preserve"> ratifient</w:t>
      </w:r>
      <w:r w:rsidR="005148D8">
        <w:t xml:space="preserve">. </w:t>
      </w:r>
      <w:r w:rsidR="00627CFF">
        <w:t>On a voulu voir, certes à juste titre, dans la création de cette convention une o</w:t>
      </w:r>
      <w:r w:rsidR="005148D8">
        <w:t xml:space="preserve">pération de géopolitique en </w:t>
      </w:r>
      <w:r w:rsidR="00627CFF">
        <w:t xml:space="preserve">faveur des « pays du Sud » : pays jugés pauvres en patrimoines monumentaux et architecturaux, ils auraient </w:t>
      </w:r>
      <w:r w:rsidR="00D10630">
        <w:t xml:space="preserve">dès lors </w:t>
      </w:r>
      <w:r w:rsidR="00627CFF">
        <w:t>la possibilité d’entrer dans le jeu patrimonial mondial par l’entremise de la célébration de</w:t>
      </w:r>
      <w:r w:rsidR="00D45CF5">
        <w:t xml:space="preserve"> leurs singularités culturelles, dans les domaines des expressions orales, théâtrales et musicales, des pratiques coutumières et rituelles, des savoirs et des savoir-faire.</w:t>
      </w:r>
      <w:r w:rsidR="00295B06">
        <w:t xml:space="preserve"> On a moins remarqué que les « pays du Nord »</w:t>
      </w:r>
      <w:r w:rsidR="00CC42E0">
        <w:t xml:space="preserve"> ont su rapidement se saisir de la nouvelle catégorie et l’adapter à des objectifs de marketing territorial. </w:t>
      </w:r>
    </w:p>
    <w:p w14:paraId="18F867B2" w14:textId="29E62AF7" w:rsidR="005148D8" w:rsidRDefault="00CC42E0" w:rsidP="000D4083">
      <w:pPr>
        <w:ind w:firstLine="284"/>
      </w:pPr>
      <w:r>
        <w:t xml:space="preserve">Le RGF est exemplaire </w:t>
      </w:r>
      <w:r w:rsidR="003906C5">
        <w:t>de cette sorte d’OPA, et peut-être en a-t-il marqué le coup d’envoi. Le lancement par Sarkozy</w:t>
      </w:r>
      <w:r w:rsidR="00826BDC">
        <w:t>,</w:t>
      </w:r>
      <w:r w:rsidR="003906C5">
        <w:t xml:space="preserve"> en 2008, du dossier de candidature a d’emblée donné le ton d’une légitimation bifide continûment présente du RGF à la CIGV</w:t>
      </w:r>
      <w:r w:rsidR="0088728D">
        <w:t>, entre représentation prestigieuse par ses « grands chefs » et tradition d’une alimentation festive. A</w:t>
      </w:r>
      <w:r w:rsidR="003906C5">
        <w:t>lors que celui-ci</w:t>
      </w:r>
      <w:r w:rsidR="00C668F1">
        <w:t>, instaurait un régime de compétition, claman</w:t>
      </w:r>
      <w:r w:rsidR="00B111A3">
        <w:t xml:space="preserve">t, fanfaron, que </w:t>
      </w:r>
      <w:r w:rsidR="003906C5">
        <w:t>nous a</w:t>
      </w:r>
      <w:r w:rsidR="00B111A3">
        <w:t>urions</w:t>
      </w:r>
      <w:r w:rsidR="003906C5">
        <w:t xml:space="preserve"> </w:t>
      </w:r>
      <w:r w:rsidR="00B111A3">
        <w:t>« </w:t>
      </w:r>
      <w:r w:rsidR="003906C5">
        <w:t>la meilleure gastronomie au monde »</w:t>
      </w:r>
      <w:r w:rsidR="00826BDC">
        <w:t>,</w:t>
      </w:r>
      <w:r w:rsidR="00670595">
        <w:t xml:space="preserve"> tout en acceptant</w:t>
      </w:r>
      <w:r w:rsidR="00B111A3">
        <w:t>, grand prince,</w:t>
      </w:r>
      <w:r w:rsidR="00670595">
        <w:t xml:space="preserve"> de bien vouloir « se comparer aux </w:t>
      </w:r>
      <w:r w:rsidR="00670595">
        <w:lastRenderedPageBreak/>
        <w:t>autres »</w:t>
      </w:r>
      <w:r w:rsidR="00DD4908">
        <w:t xml:space="preserve">, </w:t>
      </w:r>
      <w:r w:rsidR="00C668F1">
        <w:t xml:space="preserve">le travail des porteurs du dossier </w:t>
      </w:r>
      <w:r w:rsidR="0088728D">
        <w:t xml:space="preserve">a </w:t>
      </w:r>
      <w:r w:rsidR="00C668F1">
        <w:t>consist</w:t>
      </w:r>
      <w:r w:rsidR="0088728D">
        <w:t>é</w:t>
      </w:r>
      <w:r w:rsidR="00C668F1">
        <w:t xml:space="preserve"> à mettre l’accent, sous l’appellation de « repas gastronomique des Français », sur </w:t>
      </w:r>
      <w:r w:rsidR="00B111A3">
        <w:t>une</w:t>
      </w:r>
      <w:r w:rsidR="00C668F1">
        <w:t xml:space="preserve"> pratique sociale du </w:t>
      </w:r>
      <w:r w:rsidR="00B111A3">
        <w:t>bien boire et du bien</w:t>
      </w:r>
      <w:r w:rsidR="00C668F1">
        <w:t xml:space="preserve"> manger, sur une culture de la table dans laquelle se reconnaitrait 99% des Français (selon une enquête menée en 2009)</w:t>
      </w:r>
      <w:r w:rsidR="00C668F1" w:rsidRPr="00C668F1">
        <w:t xml:space="preserve"> </w:t>
      </w:r>
      <w:r w:rsidR="00C668F1">
        <w:t>qui donc transcenderait les cl</w:t>
      </w:r>
      <w:r w:rsidR="0095591E">
        <w:t>ivages</w:t>
      </w:r>
      <w:r w:rsidR="00C668F1">
        <w:t xml:space="preserve"> s</w:t>
      </w:r>
      <w:r w:rsidR="0095591E">
        <w:t xml:space="preserve">ociaux </w:t>
      </w:r>
      <w:r w:rsidR="006D5A64">
        <w:t xml:space="preserve">et politiques </w:t>
      </w:r>
      <w:r w:rsidR="0095591E">
        <w:t>comme les intérêts de classe</w:t>
      </w:r>
      <w:r w:rsidR="00F83FCF">
        <w:t xml:space="preserve"> </w:t>
      </w:r>
      <w:r w:rsidR="00826BDC" w:rsidRPr="00826BDC">
        <w:t>– mais qui serait menacée d’</w:t>
      </w:r>
      <w:r w:rsidR="00826BDC">
        <w:t>uniformisation par les effets de la mondialisation</w:t>
      </w:r>
    </w:p>
    <w:p w14:paraId="038ABDAD" w14:textId="092653FA" w:rsidR="007549A4" w:rsidRDefault="00447897" w:rsidP="00FF3B70">
      <w:pPr>
        <w:ind w:firstLine="284"/>
      </w:pPr>
      <w:r>
        <w:t>L</w:t>
      </w:r>
      <w:r w:rsidR="00267AA5">
        <w:t xml:space="preserve">e dossier </w:t>
      </w:r>
      <w:r w:rsidR="00FF3B70">
        <w:t xml:space="preserve">a </w:t>
      </w:r>
      <w:r>
        <w:t xml:space="preserve">d’ailleurs </w:t>
      </w:r>
      <w:r w:rsidR="00FF3B70">
        <w:t>été</w:t>
      </w:r>
      <w:r w:rsidR="00267AA5">
        <w:t xml:space="preserve"> porté par deux personnalités</w:t>
      </w:r>
      <w:r w:rsidR="00A666ED">
        <w:t xml:space="preserve"> </w:t>
      </w:r>
      <w:r>
        <w:t xml:space="preserve">que l’on peut dire en ce sens </w:t>
      </w:r>
      <w:r w:rsidR="00A666ED">
        <w:t>politiquement complémentaires</w:t>
      </w:r>
      <w:r w:rsidR="00267AA5">
        <w:t>, l’un</w:t>
      </w:r>
      <w:r w:rsidR="00FF3B70">
        <w:t>,</w:t>
      </w:r>
      <w:r w:rsidR="00267AA5">
        <w:t xml:space="preserve"> </w:t>
      </w:r>
      <w:r w:rsidR="00FF3B70">
        <w:t xml:space="preserve">homme </w:t>
      </w:r>
      <w:r w:rsidR="00267AA5">
        <w:t>de droite, géographe</w:t>
      </w:r>
      <w:r>
        <w:t xml:space="preserve"> universitaire</w:t>
      </w:r>
      <w:r w:rsidR="00FF3B70">
        <w:t>,</w:t>
      </w:r>
      <w:r w:rsidR="00267AA5">
        <w:t xml:space="preserve"> alors président de Paris IV (Paris-Sorbonne)</w:t>
      </w:r>
      <w:r w:rsidR="00FF3B70">
        <w:t xml:space="preserve">, l’autre, homme </w:t>
      </w:r>
      <w:r w:rsidR="00267AA5">
        <w:t>de gauche, ancien dir</w:t>
      </w:r>
      <w:r w:rsidR="00FF3B70">
        <w:t>ecteur</w:t>
      </w:r>
      <w:r w:rsidR="00267AA5">
        <w:t xml:space="preserve"> </w:t>
      </w:r>
      <w:r w:rsidR="00A666ED">
        <w:t>des affaires culturelles de la ville de Blois (</w:t>
      </w:r>
      <w:r w:rsidR="008C74C4">
        <w:t xml:space="preserve">alors que </w:t>
      </w:r>
      <w:r w:rsidR="00267AA5">
        <w:t xml:space="preserve">Jack Lang </w:t>
      </w:r>
      <w:r w:rsidR="00826BDC">
        <w:t xml:space="preserve">en </w:t>
      </w:r>
      <w:r w:rsidR="008C74C4">
        <w:t xml:space="preserve">est </w:t>
      </w:r>
      <w:r w:rsidR="00826BDC">
        <w:t xml:space="preserve">le </w:t>
      </w:r>
      <w:r w:rsidR="00267AA5">
        <w:t>maire</w:t>
      </w:r>
      <w:r w:rsidR="00A666ED">
        <w:t>)</w:t>
      </w:r>
      <w:r w:rsidR="00267AA5">
        <w:t xml:space="preserve">, fondateur de l’Institut des cultures alimentaires et des </w:t>
      </w:r>
      <w:r w:rsidR="00A666ED">
        <w:t>Rendez-vous de l’Histoire</w:t>
      </w:r>
      <w:r w:rsidR="00267AA5">
        <w:t xml:space="preserve"> de Blois.</w:t>
      </w:r>
      <w:r w:rsidR="00FF3B70">
        <w:t xml:space="preserve"> </w:t>
      </w:r>
      <w:r w:rsidR="00B07B7B">
        <w:t xml:space="preserve">Tous les deux </w:t>
      </w:r>
      <w:r w:rsidR="00FF3B70">
        <w:t xml:space="preserve">ont </w:t>
      </w:r>
      <w:r w:rsidR="00B07B7B">
        <w:t>trava</w:t>
      </w:r>
      <w:r w:rsidR="00FF3B70">
        <w:t>illé</w:t>
      </w:r>
      <w:r w:rsidR="00B07B7B">
        <w:t xml:space="preserve"> à la constitution d’un « espace public » de la gastronomie, une sorte de lobby composé de journalistes, d’essayistes, d’intellectuels de salons parisiens, de grands chefs, de politiciens, d’entrepreneurs et formant un espace discursif de légitimation de la culture gastronomique ou plutôt de la gastronom</w:t>
      </w:r>
      <w:r w:rsidR="004A2CB9">
        <w:t>i</w:t>
      </w:r>
      <w:r w:rsidR="00B07B7B">
        <w:t>e comme culture</w:t>
      </w:r>
      <w:r w:rsidR="00FF3B70">
        <w:t xml:space="preserve">. L’argument </w:t>
      </w:r>
      <w:r w:rsidR="004A2CB9">
        <w:t xml:space="preserve">déployé consiste </w:t>
      </w:r>
      <w:r>
        <w:t xml:space="preserve">alors </w:t>
      </w:r>
      <w:r w:rsidR="004A2CB9">
        <w:t xml:space="preserve">dans </w:t>
      </w:r>
      <w:r w:rsidR="00FF3B70">
        <w:t>la revanche de l’illégitime</w:t>
      </w:r>
      <w:r>
        <w:t xml:space="preserve">, au regard d’une conception « beaux-arts » de la culture légitime, </w:t>
      </w:r>
      <w:r w:rsidR="004A2CB9">
        <w:t>et dans la reconnaissance d’une authentique culture populaire</w:t>
      </w:r>
      <w:r w:rsidR="00FF3B70">
        <w:t xml:space="preserve"> : la gastronomie </w:t>
      </w:r>
      <w:r w:rsidR="004A2CB9">
        <w:t>serait</w:t>
      </w:r>
      <w:r w:rsidR="00006EF6">
        <w:t xml:space="preserve"> de ces arts qui souffrirai</w:t>
      </w:r>
      <w:r w:rsidR="00FF3B70">
        <w:t>ent d’un discrédit et s</w:t>
      </w:r>
      <w:r w:rsidR="00006EF6">
        <w:t>eraient</w:t>
      </w:r>
      <w:r w:rsidR="00FF3B70">
        <w:t xml:space="preserve"> considérés comme mi</w:t>
      </w:r>
      <w:r w:rsidR="007549A4">
        <w:t>neurs par l’administration culturelle d’État</w:t>
      </w:r>
      <w:r w:rsidR="00006EF6">
        <w:t xml:space="preserve">, aussi </w:t>
      </w:r>
      <w:r w:rsidR="00F83FCF">
        <w:t>l</w:t>
      </w:r>
      <w:r>
        <w:t xml:space="preserve">’instrument unesquien </w:t>
      </w:r>
      <w:r w:rsidR="00F83FCF">
        <w:t xml:space="preserve">lui </w:t>
      </w:r>
      <w:r>
        <w:t>offrirait</w:t>
      </w:r>
      <w:r w:rsidR="00006EF6">
        <w:t>-il</w:t>
      </w:r>
      <w:r>
        <w:t xml:space="preserve"> l’opportunité </w:t>
      </w:r>
      <w:r w:rsidR="00F83FCF">
        <w:t>d’une juste et méritée reconnaissance.</w:t>
      </w:r>
    </w:p>
    <w:p w14:paraId="312A1268" w14:textId="37C7EB7B" w:rsidR="005306C9" w:rsidRDefault="00F83FCF" w:rsidP="00A14A06">
      <w:pPr>
        <w:ind w:firstLine="284"/>
        <w:rPr>
          <w:rFonts w:eastAsia="Times New Roman"/>
        </w:rPr>
      </w:pPr>
      <w:r>
        <w:t xml:space="preserve">On doit bien sûr s’interroger sur les ressorts de cette référence à un art populaire </w:t>
      </w:r>
      <w:r w:rsidR="00170026">
        <w:t>soi-disant</w:t>
      </w:r>
      <w:r>
        <w:t xml:space="preserve"> ignoré et/ou dénigré. Il faudrait pour cela prendre le temps de saisir les mobiles des différents acteurs intéressé</w:t>
      </w:r>
      <w:r w:rsidR="00B86B5E">
        <w:t>s</w:t>
      </w:r>
      <w:r>
        <w:t xml:space="preserve"> par cette reconnaissance au regard des profits qu’ils peuvent en attendre : économiques, politique, symbol</w:t>
      </w:r>
      <w:r w:rsidR="00A14A06">
        <w:t xml:space="preserve">ique, etc. </w:t>
      </w:r>
      <w:r w:rsidR="00853553">
        <w:t>Pour s’en</w:t>
      </w:r>
      <w:r w:rsidR="008C74C4">
        <w:t xml:space="preserve"> </w:t>
      </w:r>
      <w:r w:rsidR="00853553">
        <w:t>tenir</w:t>
      </w:r>
      <w:r w:rsidR="00006EF6">
        <w:t xml:space="preserve"> au bénéfice politique</w:t>
      </w:r>
      <w:r w:rsidR="00A14A06">
        <w:t xml:space="preserve">, on peut faire un parallèle avec </w:t>
      </w:r>
      <w:r w:rsidR="00B86B5E">
        <w:t>le schéma</w:t>
      </w:r>
      <w:r w:rsidR="006529C2">
        <w:t xml:space="preserve"> de l’espace public bourgeois décrit par Habermas</w:t>
      </w:r>
      <w:r w:rsidR="006529C2" w:rsidRPr="00097DB8">
        <w:t xml:space="preserve"> </w:t>
      </w:r>
      <w:r w:rsidR="00A14A06">
        <w:t>dans</w:t>
      </w:r>
      <w:r w:rsidR="006529C2">
        <w:t xml:space="preserve"> le 18</w:t>
      </w:r>
      <w:r w:rsidR="006529C2" w:rsidRPr="00952E7D">
        <w:rPr>
          <w:vertAlign w:val="superscript"/>
        </w:rPr>
        <w:t>e</w:t>
      </w:r>
      <w:r w:rsidR="00A14A06">
        <w:t xml:space="preserve"> siècle prérévolutionnaire</w:t>
      </w:r>
      <w:r w:rsidR="006529C2">
        <w:t xml:space="preserve"> : </w:t>
      </w:r>
      <w:r w:rsidR="00677F59">
        <w:t>un public de bourgeois critique</w:t>
      </w:r>
      <w:r w:rsidR="006529C2">
        <w:t xml:space="preserve"> qui constituent une arène discursive (presse, littérature, réunions de débats, salons, clubs et partis), un espace de prise de parole, qui, s’il est distinct de l’État, n’en a pas moins une visée instituante. En l’occurrence, la démarche des initiateurs du RGF a consisté</w:t>
      </w:r>
      <w:r w:rsidR="00A14A06">
        <w:t xml:space="preserve">, par sa portée qui se voulait critique, à intéresser l’État </w:t>
      </w:r>
      <w:r w:rsidR="006529C2">
        <w:t>à une problématisation élaborée au sein</w:t>
      </w:r>
      <w:r w:rsidR="00A14A06">
        <w:t xml:space="preserve"> de cercles bourgeois et</w:t>
      </w:r>
      <w:r w:rsidR="006529C2">
        <w:t xml:space="preserve"> lettrés. </w:t>
      </w:r>
      <w:r w:rsidR="00A14A06">
        <w:t>Celui-ci y a vu son intérêt : l</w:t>
      </w:r>
      <w:r w:rsidR="006D5A64">
        <w:t xml:space="preserve">e peuple célébré, c’est </w:t>
      </w:r>
      <w:r w:rsidR="00A14A06">
        <w:t xml:space="preserve">bien </w:t>
      </w:r>
      <w:r>
        <w:t xml:space="preserve">celui de </w:t>
      </w:r>
      <w:r w:rsidR="006D5A64">
        <w:t>la communauté nationale</w:t>
      </w:r>
      <w:r w:rsidR="00A14A06">
        <w:t xml:space="preserve"> – et non pas la plèbe. Un peuple gourmand et festif qui se réconcilie </w:t>
      </w:r>
      <w:r w:rsidR="00677F59">
        <w:t xml:space="preserve">ou transcende ses différences et ses conflits </w:t>
      </w:r>
      <w:r w:rsidR="00A14A06">
        <w:t>autour de la table, dans l’acte de manger, de boire</w:t>
      </w:r>
      <w:r w:rsidR="00677F59">
        <w:t>…</w:t>
      </w:r>
      <w:r w:rsidR="00A14A06">
        <w:t xml:space="preserve"> et de ne </w:t>
      </w:r>
      <w:r w:rsidR="00677F59">
        <w:t xml:space="preserve">pas </w:t>
      </w:r>
      <w:r w:rsidR="00A14A06">
        <w:t>cesser d’en parler</w:t>
      </w:r>
      <w:r w:rsidR="008C74C4">
        <w:t xml:space="preserve"> (</w:t>
      </w:r>
      <w:r w:rsidR="00677F59">
        <w:t>la gastronomie a ceci de particulier qu’elle est auto-référentielle</w:t>
      </w:r>
      <w:r w:rsidR="008C74C4">
        <w:t>)</w:t>
      </w:r>
      <w:r w:rsidR="00A14A06">
        <w:t xml:space="preserve">. </w:t>
      </w:r>
      <w:r w:rsidR="005306C9">
        <w:rPr>
          <w:rFonts w:eastAsia="Times New Roman"/>
        </w:rPr>
        <w:t>Nous</w:t>
      </w:r>
      <w:r w:rsidR="00A14A06">
        <w:rPr>
          <w:rFonts w:eastAsia="Times New Roman"/>
        </w:rPr>
        <w:t>, Français,</w:t>
      </w:r>
      <w:r w:rsidR="005306C9">
        <w:rPr>
          <w:rFonts w:eastAsia="Times New Roman"/>
        </w:rPr>
        <w:t xml:space="preserve"> sommes des orfèvres en la matière. Notre bouffe, c’est notre patrimoine</w:t>
      </w:r>
      <w:r w:rsidR="00677F59">
        <w:rPr>
          <w:rFonts w:eastAsia="Times New Roman"/>
        </w:rPr>
        <w:t xml:space="preserve"> </w:t>
      </w:r>
      <w:r w:rsidR="007357A6">
        <w:rPr>
          <w:rFonts w:eastAsia="Times New Roman"/>
        </w:rPr>
        <w:t>par excellence</w:t>
      </w:r>
      <w:r w:rsidR="005306C9">
        <w:rPr>
          <w:rFonts w:eastAsia="Times New Roman"/>
        </w:rPr>
        <w:t>.</w:t>
      </w:r>
      <w:r w:rsidR="00006EF6">
        <w:rPr>
          <w:rFonts w:eastAsia="Times New Roman"/>
        </w:rPr>
        <w:t xml:space="preserve"> L’inscription du RGF apparaît comme le point d’orgue </w:t>
      </w:r>
      <w:r w:rsidR="000943FD">
        <w:rPr>
          <w:rFonts w:eastAsia="Times New Roman"/>
        </w:rPr>
        <w:t xml:space="preserve">ou la ratification officielle </w:t>
      </w:r>
      <w:r w:rsidR="00006EF6">
        <w:rPr>
          <w:rFonts w:eastAsia="Times New Roman"/>
        </w:rPr>
        <w:t>d’un « gastronationalisme »</w:t>
      </w:r>
      <w:r w:rsidR="008C74C4">
        <w:rPr>
          <w:rFonts w:eastAsia="Times New Roman"/>
        </w:rPr>
        <w:t xml:space="preserve"> </w:t>
      </w:r>
      <w:r w:rsidR="00006EF6">
        <w:rPr>
          <w:rFonts w:eastAsia="Times New Roman"/>
        </w:rPr>
        <w:t>déjà identifié à travers les mesur</w:t>
      </w:r>
      <w:r w:rsidR="000943FD">
        <w:rPr>
          <w:rFonts w:eastAsia="Times New Roman"/>
        </w:rPr>
        <w:t>e</w:t>
      </w:r>
      <w:r w:rsidR="00006EF6">
        <w:rPr>
          <w:rFonts w:eastAsia="Times New Roman"/>
        </w:rPr>
        <w:t>s protectionn</w:t>
      </w:r>
      <w:r w:rsidR="000943FD">
        <w:rPr>
          <w:rFonts w:eastAsia="Times New Roman"/>
        </w:rPr>
        <w:t>i</w:t>
      </w:r>
      <w:r w:rsidR="00006EF6">
        <w:rPr>
          <w:rFonts w:eastAsia="Times New Roman"/>
        </w:rPr>
        <w:t xml:space="preserve">stes </w:t>
      </w:r>
      <w:r w:rsidR="000943FD">
        <w:rPr>
          <w:rFonts w:eastAsia="Times New Roman"/>
        </w:rPr>
        <w:t>face aux pressions du marché mondialisé</w:t>
      </w:r>
      <w:r w:rsidR="008C74C4">
        <w:rPr>
          <w:rStyle w:val="Marquenotebasdepage"/>
          <w:rFonts w:eastAsia="Times New Roman"/>
        </w:rPr>
        <w:footnoteReference w:id="3"/>
      </w:r>
      <w:r w:rsidR="000943FD">
        <w:rPr>
          <w:rFonts w:eastAsia="Times New Roman"/>
        </w:rPr>
        <w:t>.</w:t>
      </w:r>
    </w:p>
    <w:p w14:paraId="4F3994F1" w14:textId="50B39733" w:rsidR="00012218" w:rsidRDefault="00012218" w:rsidP="00012218">
      <w:pPr>
        <w:pStyle w:val="Titre2"/>
      </w:pPr>
      <w:r>
        <w:t>La cité patrimoniale dans la métropole</w:t>
      </w:r>
    </w:p>
    <w:p w14:paraId="24C1F0A1" w14:textId="02F08AB2" w:rsidR="00C50129" w:rsidRDefault="005B05A6" w:rsidP="00C50129">
      <w:pPr>
        <w:ind w:firstLine="284"/>
        <w:rPr>
          <w:rFonts w:eastAsia="Times New Roman"/>
        </w:rPr>
      </w:pPr>
      <w:r>
        <w:rPr>
          <w:rFonts w:eastAsia="Times New Roman"/>
        </w:rPr>
        <w:t xml:space="preserve">Le passage du « repas » à la « cité », inscrit dans le </w:t>
      </w:r>
      <w:r w:rsidR="003D4E9F">
        <w:rPr>
          <w:rFonts w:eastAsia="Times New Roman"/>
        </w:rPr>
        <w:t>« plan de gestion »</w:t>
      </w:r>
      <w:r>
        <w:rPr>
          <w:rFonts w:eastAsia="Times New Roman"/>
        </w:rPr>
        <w:t xml:space="preserve"> de l’inscription, se réalise sur fond de désengagement de l’État, </w:t>
      </w:r>
      <w:r w:rsidR="00F607B2">
        <w:rPr>
          <w:rFonts w:eastAsia="Times New Roman"/>
        </w:rPr>
        <w:t>à propos duquel</w:t>
      </w:r>
      <w:r>
        <w:rPr>
          <w:rFonts w:eastAsia="Times New Roman"/>
        </w:rPr>
        <w:t xml:space="preserve"> il faut se d</w:t>
      </w:r>
      <w:r w:rsidR="00006EF6">
        <w:rPr>
          <w:rFonts w:eastAsia="Times New Roman"/>
        </w:rPr>
        <w:t xml:space="preserve">emander s’il n’a pas contribué </w:t>
      </w:r>
      <w:r w:rsidR="00170026">
        <w:rPr>
          <w:rFonts w:eastAsia="Times New Roman"/>
        </w:rPr>
        <w:t>à accentuer, voir</w:t>
      </w:r>
      <w:r w:rsidR="00B86B5E">
        <w:rPr>
          <w:rFonts w:eastAsia="Times New Roman"/>
        </w:rPr>
        <w:t>e</w:t>
      </w:r>
      <w:r w:rsidR="00170026">
        <w:rPr>
          <w:rFonts w:eastAsia="Times New Roman"/>
        </w:rPr>
        <w:t xml:space="preserve"> à accomplir un </w:t>
      </w:r>
      <w:r w:rsidR="000943FD">
        <w:rPr>
          <w:rFonts w:eastAsia="Times New Roman"/>
        </w:rPr>
        <w:t>ferment</w:t>
      </w:r>
      <w:r w:rsidR="00170026">
        <w:rPr>
          <w:rFonts w:eastAsia="Times New Roman"/>
        </w:rPr>
        <w:t xml:space="preserve"> de </w:t>
      </w:r>
      <w:r w:rsidR="000943FD">
        <w:rPr>
          <w:rFonts w:eastAsia="Times New Roman"/>
        </w:rPr>
        <w:t xml:space="preserve">marchandisation que la désignation « RGF » n’a jamais réussi à </w:t>
      </w:r>
      <w:r w:rsidR="003D4E9F">
        <w:rPr>
          <w:rFonts w:eastAsia="Times New Roman"/>
        </w:rPr>
        <w:t>masquer</w:t>
      </w:r>
      <w:r w:rsidR="000943FD">
        <w:rPr>
          <w:rFonts w:eastAsia="Times New Roman"/>
        </w:rPr>
        <w:t>. D’un côté, on pourrait convenir que la préconisation</w:t>
      </w:r>
      <w:r w:rsidR="00C50129">
        <w:rPr>
          <w:rFonts w:eastAsia="Times New Roman"/>
        </w:rPr>
        <w:t>,</w:t>
      </w:r>
      <w:r w:rsidR="000943FD">
        <w:rPr>
          <w:rFonts w:eastAsia="Times New Roman"/>
        </w:rPr>
        <w:t xml:space="preserve"> par la Mission français</w:t>
      </w:r>
      <w:r w:rsidR="00C50129">
        <w:rPr>
          <w:rFonts w:eastAsia="Times New Roman"/>
        </w:rPr>
        <w:t>e</w:t>
      </w:r>
      <w:r w:rsidR="000943FD">
        <w:rPr>
          <w:rFonts w:eastAsia="Times New Roman"/>
        </w:rPr>
        <w:t xml:space="preserve"> du patrimoine et des cultures alimentaires (MFPCA)</w:t>
      </w:r>
      <w:r w:rsidR="00DC0951">
        <w:rPr>
          <w:rFonts w:eastAsia="Times New Roman"/>
        </w:rPr>
        <w:t xml:space="preserve"> – chargé</w:t>
      </w:r>
      <w:r w:rsidR="00C50129">
        <w:rPr>
          <w:rFonts w:eastAsia="Times New Roman"/>
        </w:rPr>
        <w:t>e</w:t>
      </w:r>
      <w:r w:rsidR="00DC0951">
        <w:rPr>
          <w:rFonts w:eastAsia="Times New Roman"/>
        </w:rPr>
        <w:t xml:space="preserve"> par l’État de mettre en œuvre le processus de création d’une cité de la gastronomie –</w:t>
      </w:r>
      <w:r w:rsidR="00C50129">
        <w:rPr>
          <w:rFonts w:eastAsia="Times New Roman"/>
        </w:rPr>
        <w:t>,</w:t>
      </w:r>
      <w:r w:rsidR="00DC0951">
        <w:rPr>
          <w:rFonts w:eastAsia="Times New Roman"/>
        </w:rPr>
        <w:t xml:space="preserve"> d’éclatement </w:t>
      </w:r>
      <w:r w:rsidR="002D2516">
        <w:rPr>
          <w:rFonts w:eastAsia="Times New Roman"/>
        </w:rPr>
        <w:t>de</w:t>
      </w:r>
      <w:r w:rsidR="00DC0951">
        <w:rPr>
          <w:rFonts w:eastAsia="Times New Roman"/>
        </w:rPr>
        <w:t xml:space="preserve"> la </w:t>
      </w:r>
      <w:r w:rsidR="002D2516">
        <w:rPr>
          <w:rFonts w:eastAsia="Times New Roman"/>
        </w:rPr>
        <w:t>« </w:t>
      </w:r>
      <w:r w:rsidR="00DC0951">
        <w:rPr>
          <w:rFonts w:eastAsia="Times New Roman"/>
        </w:rPr>
        <w:t>cité</w:t>
      </w:r>
      <w:r w:rsidR="002D2516">
        <w:rPr>
          <w:rFonts w:eastAsia="Times New Roman"/>
        </w:rPr>
        <w:t> »</w:t>
      </w:r>
      <w:r w:rsidR="00DC0951">
        <w:rPr>
          <w:rFonts w:eastAsia="Times New Roman"/>
        </w:rPr>
        <w:t xml:space="preserve"> dans un réseau de villes (Dijon, Lyon, Tours et Paris-Rungis)</w:t>
      </w:r>
      <w:r w:rsidR="00C50129">
        <w:rPr>
          <w:rFonts w:eastAsia="Times New Roman"/>
        </w:rPr>
        <w:t xml:space="preserve"> </w:t>
      </w:r>
      <w:r w:rsidR="00935E0F">
        <w:rPr>
          <w:rFonts w:eastAsia="Times New Roman"/>
        </w:rPr>
        <w:t>se situe</w:t>
      </w:r>
      <w:r w:rsidR="00C50129">
        <w:rPr>
          <w:rFonts w:eastAsia="Times New Roman"/>
        </w:rPr>
        <w:t xml:space="preserve"> dans une logique « gastronationaliste » en jouant sur les échelles </w:t>
      </w:r>
      <w:r w:rsidR="00B3045C">
        <w:rPr>
          <w:rFonts w:eastAsia="Times New Roman"/>
        </w:rPr>
        <w:t xml:space="preserve">territoriales </w:t>
      </w:r>
      <w:r w:rsidR="00C50129">
        <w:rPr>
          <w:rFonts w:eastAsia="Times New Roman"/>
        </w:rPr>
        <w:t xml:space="preserve">du patriotisme culinaire. </w:t>
      </w:r>
      <w:r w:rsidR="00861581">
        <w:rPr>
          <w:rFonts w:eastAsia="Times New Roman"/>
        </w:rPr>
        <w:t>Pour autant la justification du choix de Dijon, auto-déclarée « une des meilleures villes gourmandes de France</w:t>
      </w:r>
      <w:r w:rsidR="00677F59">
        <w:rPr>
          <w:rFonts w:eastAsia="Times New Roman"/>
        </w:rPr>
        <w:t> »</w:t>
      </w:r>
      <w:r w:rsidR="00B87079">
        <w:rPr>
          <w:rFonts w:eastAsia="Times New Roman"/>
        </w:rPr>
        <w:t>,</w:t>
      </w:r>
      <w:r w:rsidR="007357A6">
        <w:rPr>
          <w:rFonts w:eastAsia="Times New Roman"/>
        </w:rPr>
        <w:t xml:space="preserve"> se fait, pour s’en tenir à ceux-ci, sur </w:t>
      </w:r>
      <w:r w:rsidR="00935E0F">
        <w:rPr>
          <w:rFonts w:eastAsia="Times New Roman"/>
        </w:rPr>
        <w:t xml:space="preserve">des </w:t>
      </w:r>
      <w:r w:rsidR="00B87079">
        <w:rPr>
          <w:rFonts w:eastAsia="Times New Roman"/>
        </w:rPr>
        <w:t>crit</w:t>
      </w:r>
      <w:r w:rsidR="00861581">
        <w:rPr>
          <w:rFonts w:eastAsia="Times New Roman"/>
        </w:rPr>
        <w:t xml:space="preserve">ères </w:t>
      </w:r>
      <w:r w:rsidR="007357A6">
        <w:rPr>
          <w:rFonts w:eastAsia="Times New Roman"/>
        </w:rPr>
        <w:t xml:space="preserve">autant </w:t>
      </w:r>
      <w:r w:rsidR="00861581">
        <w:rPr>
          <w:rFonts w:eastAsia="Times New Roman"/>
        </w:rPr>
        <w:t>historico-</w:t>
      </w:r>
      <w:r w:rsidR="00677F59">
        <w:rPr>
          <w:rFonts w:eastAsia="Times New Roman"/>
        </w:rPr>
        <w:t>anthropologico-</w:t>
      </w:r>
      <w:r w:rsidR="00861581">
        <w:rPr>
          <w:rFonts w:eastAsia="Times New Roman"/>
        </w:rPr>
        <w:t xml:space="preserve">patrimoniaux </w:t>
      </w:r>
      <w:r w:rsidR="00B87079">
        <w:rPr>
          <w:rFonts w:eastAsia="Times New Roman"/>
        </w:rPr>
        <w:t>(le fonds gourmand de la bibliothèque municipale, des « halles vivantes », les inévitables spécialités</w:t>
      </w:r>
      <w:r w:rsidR="00677F59">
        <w:rPr>
          <w:rFonts w:eastAsia="Times New Roman"/>
        </w:rPr>
        <w:t xml:space="preserve"> culinaires</w:t>
      </w:r>
      <w:r w:rsidR="00B87079">
        <w:rPr>
          <w:rFonts w:eastAsia="Times New Roman"/>
        </w:rPr>
        <w:t xml:space="preserve">) que sur des critères économiques (une foire internationale et gastronomique annuelle, cinq restaurants étoilés, </w:t>
      </w:r>
      <w:r w:rsidR="007357A6">
        <w:rPr>
          <w:rFonts w:eastAsia="Times New Roman"/>
        </w:rPr>
        <w:t>et</w:t>
      </w:r>
      <w:r w:rsidR="00826BDC">
        <w:rPr>
          <w:rFonts w:eastAsia="Times New Roman"/>
        </w:rPr>
        <w:t>, encore,</w:t>
      </w:r>
      <w:r w:rsidR="007357A6">
        <w:rPr>
          <w:rFonts w:eastAsia="Times New Roman"/>
        </w:rPr>
        <w:t xml:space="preserve"> </w:t>
      </w:r>
      <w:r w:rsidR="00B87079">
        <w:rPr>
          <w:rFonts w:eastAsia="Times New Roman"/>
        </w:rPr>
        <w:t>les halles) contribuant à positionner la métropole dijonnaise sur le créneau du lu</w:t>
      </w:r>
      <w:r w:rsidR="007357A6">
        <w:rPr>
          <w:rFonts w:eastAsia="Times New Roman"/>
        </w:rPr>
        <w:t>xe alimentaire.</w:t>
      </w:r>
    </w:p>
    <w:p w14:paraId="3B546409" w14:textId="0BA9D4DA" w:rsidR="007357A6" w:rsidRDefault="007357A6" w:rsidP="00625E9A">
      <w:pPr>
        <w:ind w:firstLine="284"/>
      </w:pPr>
      <w:r>
        <w:rPr>
          <w:rFonts w:eastAsia="Times New Roman"/>
        </w:rPr>
        <w:t xml:space="preserve">Cette dimension ou plutôt le couplage </w:t>
      </w:r>
      <w:r w:rsidR="008A58B0">
        <w:rPr>
          <w:rFonts w:eastAsia="Times New Roman"/>
        </w:rPr>
        <w:t>étroit</w:t>
      </w:r>
      <w:r w:rsidR="00B47FFB">
        <w:rPr>
          <w:rFonts w:eastAsia="Times New Roman"/>
        </w:rPr>
        <w:t xml:space="preserve"> de ces dimensions se révèle</w:t>
      </w:r>
      <w:r>
        <w:rPr>
          <w:rFonts w:eastAsia="Times New Roman"/>
        </w:rPr>
        <w:t xml:space="preserve"> d’autant mieux dans le montage et le contenu du projet de la future cité</w:t>
      </w:r>
      <w:r w:rsidR="00B47FFB">
        <w:rPr>
          <w:rFonts w:eastAsia="Times New Roman"/>
        </w:rPr>
        <w:t> : s</w:t>
      </w:r>
      <w:r>
        <w:t>on installation sur le site réaffecté de l’ancien hôpital général de Dijon, soit un site patrimonial comportant des bâtiments inscrits et classés construits entre le 15</w:t>
      </w:r>
      <w:r w:rsidRPr="005E5DF7">
        <w:rPr>
          <w:vertAlign w:val="superscript"/>
        </w:rPr>
        <w:t>e</w:t>
      </w:r>
      <w:r>
        <w:t xml:space="preserve"> et le 17</w:t>
      </w:r>
      <w:r w:rsidRPr="005E5DF7">
        <w:rPr>
          <w:vertAlign w:val="superscript"/>
        </w:rPr>
        <w:t>e</w:t>
      </w:r>
      <w:r w:rsidR="00B47FFB">
        <w:t xml:space="preserve"> siècle ; le choix d’un opérateur privé, le groupe Eiffage en l’occurrence, pour réaliser un chantier estimé à </w:t>
      </w:r>
      <w:r w:rsidR="000805E2">
        <w:t xml:space="preserve">plus de </w:t>
      </w:r>
      <w:r w:rsidR="00B47FFB">
        <w:t xml:space="preserve">200 millions d’euros ; </w:t>
      </w:r>
      <w:r w:rsidR="00625E9A">
        <w:t xml:space="preserve">la composition d’un </w:t>
      </w:r>
      <w:r w:rsidR="000805E2">
        <w:t>site</w:t>
      </w:r>
      <w:r w:rsidR="00625E9A">
        <w:t xml:space="preserve"> intégré et multifonctionnel alliant espaces culturels, centres de formations </w:t>
      </w:r>
      <w:r w:rsidR="001C6791">
        <w:t xml:space="preserve">(à la cuisine française et aux vins), espace entrepreneurial, </w:t>
      </w:r>
      <w:r w:rsidR="00625E9A">
        <w:t>cinémas, hôtel de luxe</w:t>
      </w:r>
      <w:r w:rsidR="000805E2">
        <w:t xml:space="preserve"> dans la partie historique (concrétisant le lien entre luxe et patrimoine)</w:t>
      </w:r>
      <w:r w:rsidR="00625E9A">
        <w:t xml:space="preserve">, restaurants et commerces, </w:t>
      </w:r>
      <w:r w:rsidR="000805E2">
        <w:t>l</w:t>
      </w:r>
      <w:r w:rsidR="00625E9A">
        <w:t>ogement</w:t>
      </w:r>
      <w:r w:rsidR="000805E2">
        <w:t>s</w:t>
      </w:r>
      <w:r w:rsidR="00625E9A">
        <w:t xml:space="preserve"> et résidences dans un nouvel « éco-quartier »</w:t>
      </w:r>
      <w:r w:rsidR="001C6791">
        <w:t xml:space="preserve"> ; </w:t>
      </w:r>
      <w:r w:rsidR="00826BDC">
        <w:t xml:space="preserve">enfin </w:t>
      </w:r>
      <w:r w:rsidR="001C6791">
        <w:t xml:space="preserve">le </w:t>
      </w:r>
      <w:r w:rsidR="008124DC">
        <w:t>suivi</w:t>
      </w:r>
      <w:r w:rsidR="001C6791">
        <w:t xml:space="preserve"> du </w:t>
      </w:r>
      <w:r w:rsidR="008124DC">
        <w:t xml:space="preserve">développement du </w:t>
      </w:r>
      <w:r w:rsidR="001C6791">
        <w:t xml:space="preserve">pôle culturel </w:t>
      </w:r>
      <w:r w:rsidR="008124DC">
        <w:t>(1700m</w:t>
      </w:r>
      <w:r w:rsidR="008124DC" w:rsidRPr="008124DC">
        <w:rPr>
          <w:vertAlign w:val="superscript"/>
        </w:rPr>
        <w:t>2</w:t>
      </w:r>
      <w:r w:rsidR="008124DC">
        <w:t xml:space="preserve"> d’exposition consacrée à la gastronomie et au vin) </w:t>
      </w:r>
      <w:r w:rsidR="001C6791">
        <w:t>par un « comité d’orientations stratégique</w:t>
      </w:r>
      <w:r w:rsidR="008124DC">
        <w:t> »</w:t>
      </w:r>
      <w:r w:rsidR="001C6791">
        <w:t xml:space="preserve"> dont la composition (grands chefs, universitaires, journalistes, conservateurs ou directeurs de musée, représentants de grandes écoles ou </w:t>
      </w:r>
      <w:r w:rsidR="00576771">
        <w:t xml:space="preserve">de </w:t>
      </w:r>
      <w:r w:rsidR="001C6791">
        <w:t xml:space="preserve">master de commerce, représentants d’entreprises de produits locaux) dessine une palette représentative de cet espace public de la gastronomie acquis aux </w:t>
      </w:r>
      <w:r w:rsidR="000017C2">
        <w:t>« bienfaits »</w:t>
      </w:r>
      <w:r w:rsidR="007D6F37">
        <w:t xml:space="preserve"> de la métropolisation</w:t>
      </w:r>
      <w:r w:rsidR="0007377D">
        <w:t xml:space="preserve"> – de la ville bucolique à la ville intelligente</w:t>
      </w:r>
      <w:bookmarkStart w:id="0" w:name="_GoBack"/>
      <w:bookmarkEnd w:id="0"/>
      <w:r w:rsidR="000805E2">
        <w:t>. En bref</w:t>
      </w:r>
      <w:r w:rsidR="00F607B2">
        <w:t>,</w:t>
      </w:r>
      <w:r w:rsidR="000805E2">
        <w:t xml:space="preserve"> la CIGV s’offrira comme une vitrine de l’excellence et du bien-vivre à Dijon et où les touristes seront invités à consommer</w:t>
      </w:r>
      <w:r w:rsidR="00826BDC">
        <w:t>,</w:t>
      </w:r>
      <w:r w:rsidR="000805E2">
        <w:t xml:space="preserve"> en toute quiétude </w:t>
      </w:r>
      <w:r w:rsidR="00853553">
        <w:t>et dans un esprit de divertissement</w:t>
      </w:r>
      <w:r w:rsidR="00826BDC">
        <w:t>,</w:t>
      </w:r>
      <w:r w:rsidR="00853553">
        <w:t xml:space="preserve"> </w:t>
      </w:r>
      <w:r w:rsidR="000805E2">
        <w:t xml:space="preserve">la culture et </w:t>
      </w:r>
      <w:r w:rsidR="00826BDC">
        <w:t>le</w:t>
      </w:r>
      <w:r w:rsidR="000805E2">
        <w:t xml:space="preserve"> patrimoine local.</w:t>
      </w:r>
    </w:p>
    <w:p w14:paraId="5CCDCBE8" w14:textId="5E14637D" w:rsidR="00012218" w:rsidRDefault="00012218" w:rsidP="00012218">
      <w:pPr>
        <w:pStyle w:val="Titre2"/>
      </w:pPr>
      <w:r>
        <w:t>Patrimoine et capitalisme</w:t>
      </w:r>
    </w:p>
    <w:p w14:paraId="3CE8BFE9" w14:textId="18993D5D" w:rsidR="00C90C71" w:rsidRDefault="000805E2" w:rsidP="00836F1B">
      <w:pPr>
        <w:ind w:firstLine="284"/>
      </w:pPr>
      <w:r>
        <w:t>La concrétisation du « repas » dans la « cité »</w:t>
      </w:r>
      <w:r w:rsidR="00853553">
        <w:t xml:space="preserve"> révèle la tonalité politico-économique de la catégorie de patrimoine</w:t>
      </w:r>
      <w:r w:rsidR="00E81DC2">
        <w:t xml:space="preserve"> et interroge les liens historiques entre les politiques du patrimoine et le développement du capitalisme. Le</w:t>
      </w:r>
      <w:r w:rsidR="00FC03FC">
        <w:t>s</w:t>
      </w:r>
      <w:r w:rsidR="00E81DC2">
        <w:t xml:space="preserve"> rares analyses sur ce point ont vu dans les premières </w:t>
      </w:r>
      <w:r w:rsidR="00E81DC2">
        <w:rPr>
          <w:szCs w:val="22"/>
        </w:rPr>
        <w:t>une manière de compenser le rapport utilitaire à l’objet promu par le capitalisme industriel. L’État a</w:t>
      </w:r>
      <w:r w:rsidR="00FC03FC">
        <w:rPr>
          <w:szCs w:val="22"/>
        </w:rPr>
        <w:t>urait ainsi</w:t>
      </w:r>
      <w:r w:rsidR="00E81DC2">
        <w:rPr>
          <w:szCs w:val="22"/>
        </w:rPr>
        <w:t xml:space="preserve"> élaboré, dès le 19</w:t>
      </w:r>
      <w:r w:rsidR="00E81DC2" w:rsidRPr="00E81DC2">
        <w:rPr>
          <w:szCs w:val="22"/>
          <w:vertAlign w:val="superscript"/>
        </w:rPr>
        <w:t>e</w:t>
      </w:r>
      <w:r w:rsidR="00E81DC2">
        <w:rPr>
          <w:szCs w:val="22"/>
        </w:rPr>
        <w:t xml:space="preserve"> siècle, un dispositif de compensation en instaurant une forme d’appropriation commune (ou en commun) dessinant les contours d’une puissante entité symbolique de reconnaissance et d’appartenance, la nation, mais sans mettre en danger les principes de la propriété privée qui régissent l’ordre socio-économique et en se faisant l’apôtre de la religion du progrès. Pas de patrimoine sans le capitalisme et sans un</w:t>
      </w:r>
      <w:r w:rsidR="008237CC">
        <w:rPr>
          <w:szCs w:val="22"/>
        </w:rPr>
        <w:t>e puissance publique</w:t>
      </w:r>
      <w:r w:rsidR="00E81DC2">
        <w:rPr>
          <w:szCs w:val="22"/>
        </w:rPr>
        <w:t xml:space="preserve"> </w:t>
      </w:r>
      <w:r w:rsidR="008237CC">
        <w:rPr>
          <w:szCs w:val="22"/>
        </w:rPr>
        <w:t xml:space="preserve">à la fois </w:t>
      </w:r>
      <w:r w:rsidR="00E81DC2">
        <w:rPr>
          <w:szCs w:val="22"/>
        </w:rPr>
        <w:t>protect</w:t>
      </w:r>
      <w:r w:rsidR="008237CC">
        <w:rPr>
          <w:szCs w:val="22"/>
        </w:rPr>
        <w:t>rice et accompagnatrice</w:t>
      </w:r>
      <w:r w:rsidR="00E81DC2">
        <w:rPr>
          <w:szCs w:val="22"/>
        </w:rPr>
        <w:t>.</w:t>
      </w:r>
      <w:r w:rsidR="00836F1B">
        <w:t xml:space="preserve"> </w:t>
      </w:r>
      <w:r w:rsidR="00C90C71">
        <w:rPr>
          <w:szCs w:val="22"/>
        </w:rPr>
        <w:t xml:space="preserve">Sous un objectif de gouvernementalité, l’État contribue donc à faire du monument, puis du </w:t>
      </w:r>
      <w:r w:rsidR="00FC03FC">
        <w:rPr>
          <w:szCs w:val="22"/>
        </w:rPr>
        <w:t xml:space="preserve">patrimoine, matériel comme immatériel, </w:t>
      </w:r>
      <w:r w:rsidR="00C90C71">
        <w:rPr>
          <w:szCs w:val="22"/>
        </w:rPr>
        <w:t xml:space="preserve">un problème public dont il a l’entière gestion et qui repose sur l’engagement des élites bourgeoises, culturelles et scientifiques : il assure principalement le formatage des individus – </w:t>
      </w:r>
      <w:r w:rsidR="00FC03FC">
        <w:rPr>
          <w:szCs w:val="22"/>
        </w:rPr>
        <w:t>il s’agit d’</w:t>
      </w:r>
      <w:r w:rsidR="00C90C71">
        <w:rPr>
          <w:szCs w:val="22"/>
        </w:rPr>
        <w:t xml:space="preserve">en faire des citoyens, au sens statutaire du mot – et l’aménagement du territoire national – </w:t>
      </w:r>
      <w:r w:rsidR="00836F1B">
        <w:rPr>
          <w:szCs w:val="22"/>
        </w:rPr>
        <w:t xml:space="preserve">par </w:t>
      </w:r>
      <w:r w:rsidR="00FC03FC">
        <w:rPr>
          <w:szCs w:val="22"/>
        </w:rPr>
        <w:t xml:space="preserve">un </w:t>
      </w:r>
      <w:r w:rsidR="00C90C71">
        <w:rPr>
          <w:szCs w:val="22"/>
        </w:rPr>
        <w:t xml:space="preserve">maillage </w:t>
      </w:r>
      <w:r w:rsidR="00FC03FC">
        <w:rPr>
          <w:szCs w:val="22"/>
        </w:rPr>
        <w:t xml:space="preserve">étroit </w:t>
      </w:r>
      <w:r w:rsidR="00836F1B">
        <w:rPr>
          <w:szCs w:val="22"/>
        </w:rPr>
        <w:t>de monuments, de musées et de parcs naturel</w:t>
      </w:r>
      <w:r w:rsidR="00FC03FC">
        <w:rPr>
          <w:szCs w:val="22"/>
        </w:rPr>
        <w:t>s</w:t>
      </w:r>
      <w:r w:rsidR="00C90C71">
        <w:rPr>
          <w:szCs w:val="22"/>
        </w:rPr>
        <w:t xml:space="preserve">. </w:t>
      </w:r>
      <w:r w:rsidR="00836F1B">
        <w:rPr>
          <w:szCs w:val="22"/>
        </w:rPr>
        <w:t>D</w:t>
      </w:r>
      <w:r w:rsidR="00C90C71">
        <w:rPr>
          <w:szCs w:val="22"/>
        </w:rPr>
        <w:t>ispositif de célébration d</w:t>
      </w:r>
      <w:r w:rsidR="00836F1B">
        <w:rPr>
          <w:szCs w:val="22"/>
        </w:rPr>
        <w:t>’une c</w:t>
      </w:r>
      <w:r w:rsidR="00C90C71">
        <w:rPr>
          <w:szCs w:val="22"/>
        </w:rPr>
        <w:t xml:space="preserve">ulture légitime, de promotion d’un génie national, </w:t>
      </w:r>
      <w:r w:rsidR="00FC03FC">
        <w:rPr>
          <w:szCs w:val="22"/>
        </w:rPr>
        <w:t xml:space="preserve">mais aussi </w:t>
      </w:r>
      <w:r w:rsidR="00C90C71">
        <w:rPr>
          <w:szCs w:val="22"/>
        </w:rPr>
        <w:t xml:space="preserve">de reconnaissance des </w:t>
      </w:r>
      <w:r w:rsidR="00836F1B">
        <w:rPr>
          <w:szCs w:val="22"/>
        </w:rPr>
        <w:t>particularités et des localités</w:t>
      </w:r>
      <w:r w:rsidR="00C90C71">
        <w:rPr>
          <w:szCs w:val="22"/>
        </w:rPr>
        <w:t xml:space="preserve">, </w:t>
      </w:r>
      <w:r w:rsidR="00836F1B">
        <w:rPr>
          <w:szCs w:val="22"/>
        </w:rPr>
        <w:t xml:space="preserve">le patrimoine </w:t>
      </w:r>
      <w:r w:rsidR="00C90C71">
        <w:rPr>
          <w:szCs w:val="22"/>
        </w:rPr>
        <w:t xml:space="preserve">met en jeux deux principes fondamentaux et complémentaires censés structurer la vie en société dans les démocraties contemporaines : la </w:t>
      </w:r>
      <w:r w:rsidR="00C90C71">
        <w:t xml:space="preserve">propriété-appropriation et l’identité-identification. </w:t>
      </w:r>
      <w:r w:rsidR="00836F1B">
        <w:t>Ainsi t</w:t>
      </w:r>
      <w:r w:rsidR="00C90C71">
        <w:t>héorisé</w:t>
      </w:r>
      <w:r w:rsidR="00836F1B">
        <w:t>e</w:t>
      </w:r>
      <w:r w:rsidR="00C90C71">
        <w:t xml:space="preserve"> comme un balancement entre l</w:t>
      </w:r>
      <w:r w:rsidR="00836F1B">
        <w:t>’avoir et l’être</w:t>
      </w:r>
      <w:r w:rsidR="00C90C71">
        <w:t>,</w:t>
      </w:r>
      <w:r w:rsidR="00836F1B">
        <w:t xml:space="preserve"> cette sémantique </w:t>
      </w:r>
      <w:r w:rsidR="00C90C71">
        <w:t>a pour effet de « naturaliser » le patrimoine et d</w:t>
      </w:r>
      <w:r w:rsidR="00FC03FC">
        <w:t>’en faire un agent de neutralisation des frictions sociales et des différences culturelles</w:t>
      </w:r>
      <w:r w:rsidR="00C90C71">
        <w:t>.</w:t>
      </w:r>
    </w:p>
    <w:p w14:paraId="61D2C077" w14:textId="0B0E7D23" w:rsidR="00C90C71" w:rsidRDefault="008237CC" w:rsidP="00CA1694">
      <w:pPr>
        <w:ind w:firstLine="284"/>
      </w:pPr>
      <w:r>
        <w:t>C’est dans cette perspective qu’il faut comprendre la reconnaissance de la gastronomie comme pratique sociale et populaire et l’ambivalence du rôle joué par l’État dans cette reconnaissance. L’association « repas » / « cité », dans la construction de la métropole, doit nous inviter à nous interroger sur les mobiles et sur les conséquences de la caractérisation « sociale » et « populaire »</w:t>
      </w:r>
      <w:r w:rsidR="00012218">
        <w:t> : en l’occurrence faire avaler au bon peuple la pilule néo-libérale</w:t>
      </w:r>
      <w:r>
        <w:t xml:space="preserve">. </w:t>
      </w:r>
      <w:r w:rsidR="00553375">
        <w:t xml:space="preserve">Elle montre que, dans une </w:t>
      </w:r>
      <w:r w:rsidR="00576771">
        <w:t xml:space="preserve">telle </w:t>
      </w:r>
      <w:r w:rsidR="00553375">
        <w:t xml:space="preserve">dynamique </w:t>
      </w:r>
      <w:r w:rsidR="00012218">
        <w:t>plus que jamais affirmée</w:t>
      </w:r>
      <w:r w:rsidR="00553375">
        <w:t xml:space="preserve">, </w:t>
      </w:r>
      <w:r w:rsidR="00553375">
        <w:rPr>
          <w:szCs w:val="22"/>
        </w:rPr>
        <w:t>l</w:t>
      </w:r>
      <w:r w:rsidR="00C90C71" w:rsidRPr="00E90CE0">
        <w:rPr>
          <w:szCs w:val="22"/>
        </w:rPr>
        <w:t xml:space="preserve">a mainmise capitaliste sur le patrimoine n’a jamais été aussi forte et selon des modalités qui </w:t>
      </w:r>
      <w:r w:rsidR="00553375">
        <w:rPr>
          <w:szCs w:val="22"/>
        </w:rPr>
        <w:t>relèguent aux vieilles lunes la</w:t>
      </w:r>
      <w:r w:rsidR="00C90C71" w:rsidRPr="00E90CE0">
        <w:rPr>
          <w:szCs w:val="22"/>
        </w:rPr>
        <w:t xml:space="preserve"> </w:t>
      </w:r>
      <w:r w:rsidR="00012218">
        <w:rPr>
          <w:szCs w:val="22"/>
        </w:rPr>
        <w:t xml:space="preserve">simple </w:t>
      </w:r>
      <w:r w:rsidR="00C90C71" w:rsidRPr="00E90CE0">
        <w:rPr>
          <w:szCs w:val="22"/>
        </w:rPr>
        <w:t>logique compensatoire : le patrimoine</w:t>
      </w:r>
      <w:r w:rsidR="00012218">
        <w:rPr>
          <w:szCs w:val="22"/>
        </w:rPr>
        <w:t>, avec la bénédiction de l’État ou de n’importe quelle puissance publique,</w:t>
      </w:r>
      <w:r w:rsidR="00C90C71" w:rsidRPr="00E90CE0">
        <w:rPr>
          <w:szCs w:val="22"/>
        </w:rPr>
        <w:t xml:space="preserve"> </w:t>
      </w:r>
      <w:r w:rsidR="00012218">
        <w:rPr>
          <w:szCs w:val="22"/>
        </w:rPr>
        <w:t>contribue</w:t>
      </w:r>
      <w:r w:rsidR="00C90C71" w:rsidRPr="00E90CE0">
        <w:rPr>
          <w:szCs w:val="22"/>
        </w:rPr>
        <w:t xml:space="preserve"> pleinement </w:t>
      </w:r>
      <w:r w:rsidR="00C90C71">
        <w:rPr>
          <w:szCs w:val="22"/>
        </w:rPr>
        <w:t>à la constitution de rentes de monopole</w:t>
      </w:r>
      <w:r w:rsidR="00553375">
        <w:rPr>
          <w:rStyle w:val="Marquenotebasdepage"/>
          <w:szCs w:val="22"/>
        </w:rPr>
        <w:footnoteReference w:id="4"/>
      </w:r>
      <w:r w:rsidR="00C90C71">
        <w:rPr>
          <w:szCs w:val="22"/>
        </w:rPr>
        <w:t xml:space="preserve"> </w:t>
      </w:r>
      <w:r w:rsidR="00553375">
        <w:rPr>
          <w:szCs w:val="22"/>
        </w:rPr>
        <w:t xml:space="preserve">dans la cadre </w:t>
      </w:r>
      <w:r w:rsidR="00C90C71" w:rsidRPr="00E90CE0">
        <w:rPr>
          <w:szCs w:val="22"/>
        </w:rPr>
        <w:t>d’une économie de l’enrichissement</w:t>
      </w:r>
      <w:r w:rsidR="00553375">
        <w:rPr>
          <w:szCs w:val="22"/>
        </w:rPr>
        <w:t>,</w:t>
      </w:r>
      <w:r w:rsidR="00C90C71" w:rsidRPr="00E90CE0">
        <w:rPr>
          <w:szCs w:val="22"/>
        </w:rPr>
        <w:t xml:space="preserve"> </w:t>
      </w:r>
      <w:r w:rsidR="00553375">
        <w:rPr>
          <w:szCs w:val="22"/>
        </w:rPr>
        <w:t xml:space="preserve">laquelle repose sur </w:t>
      </w:r>
      <w:r w:rsidR="00553375">
        <w:t>la singularisation et l’appropriation de choses et de produits qui ont du prix, des objets patrimoniaux aux produits de luxe</w:t>
      </w:r>
      <w:r w:rsidR="00012218">
        <w:t>,</w:t>
      </w:r>
      <w:r w:rsidR="00553375" w:rsidRPr="00E90CE0">
        <w:rPr>
          <w:szCs w:val="22"/>
        </w:rPr>
        <w:t xml:space="preserve"> </w:t>
      </w:r>
      <w:r w:rsidR="00C90C71" w:rsidRPr="00E90CE0">
        <w:rPr>
          <w:szCs w:val="22"/>
        </w:rPr>
        <w:t xml:space="preserve">et </w:t>
      </w:r>
      <w:r w:rsidR="003E3F86">
        <w:rPr>
          <w:szCs w:val="22"/>
        </w:rPr>
        <w:t>participe</w:t>
      </w:r>
      <w:r w:rsidR="00C90C71" w:rsidRPr="00E90CE0">
        <w:rPr>
          <w:szCs w:val="22"/>
        </w:rPr>
        <w:t xml:space="preserve"> au plein développement des industries créatives, du luxe et du tourisme. </w:t>
      </w:r>
      <w:r w:rsidR="00CA1694">
        <w:rPr>
          <w:szCs w:val="22"/>
        </w:rPr>
        <w:t xml:space="preserve">Cela peut être envisagé sous l’angle du </w:t>
      </w:r>
      <w:r w:rsidR="00CA1694">
        <w:t>m</w:t>
      </w:r>
      <w:r w:rsidR="00F97B0B">
        <w:t>arketing territorial</w:t>
      </w:r>
      <w:r w:rsidR="00CA1694">
        <w:t>, dans le sens d’une i</w:t>
      </w:r>
      <w:r w:rsidR="00F97B0B" w:rsidRPr="00B54C99">
        <w:t xml:space="preserve">nstrumentation </w:t>
      </w:r>
      <w:r w:rsidR="00CA1694">
        <w:t xml:space="preserve">de plus en plus transparente </w:t>
      </w:r>
      <w:r w:rsidR="00F97B0B" w:rsidRPr="00B54C99">
        <w:t>du pa</w:t>
      </w:r>
      <w:r w:rsidR="00CA1694">
        <w:t>trimoine comme levier décisif de</w:t>
      </w:r>
      <w:r w:rsidR="00F97B0B" w:rsidRPr="00B54C99">
        <w:t xml:space="preserve"> développement</w:t>
      </w:r>
      <w:r w:rsidR="00CA1694">
        <w:t xml:space="preserve"> et de l’exploitation de ressources a priori </w:t>
      </w:r>
      <w:r w:rsidR="00F97B0B" w:rsidRPr="00B54C99">
        <w:t xml:space="preserve">non marchandes </w:t>
      </w:r>
      <w:r w:rsidR="00CA1694">
        <w:t>pour</w:t>
      </w:r>
      <w:r w:rsidR="00F97B0B" w:rsidRPr="00B54C99">
        <w:t xml:space="preserve"> l</w:t>
      </w:r>
      <w:r w:rsidR="00CA1694">
        <w:t>a promotion</w:t>
      </w:r>
      <w:r w:rsidR="00F97B0B" w:rsidRPr="00B54C99">
        <w:t xml:space="preserve"> des territoires. </w:t>
      </w:r>
      <w:r w:rsidR="00CA1694">
        <w:t>C</w:t>
      </w:r>
      <w:r w:rsidR="00F97B0B" w:rsidRPr="00B54C99">
        <w:t>es ressources</w:t>
      </w:r>
      <w:r w:rsidR="00CA1694">
        <w:t>, culturelles</w:t>
      </w:r>
      <w:r w:rsidR="00F97B0B" w:rsidRPr="00B54C99">
        <w:t xml:space="preserve"> </w:t>
      </w:r>
      <w:r w:rsidR="00CA1694">
        <w:t xml:space="preserve">et </w:t>
      </w:r>
      <w:r w:rsidR="00F97B0B" w:rsidRPr="00B54C99">
        <w:t xml:space="preserve"> patrimoniales, s’ins</w:t>
      </w:r>
      <w:r w:rsidR="00CA1694">
        <w:t>crivent</w:t>
      </w:r>
      <w:r w:rsidR="00F97B0B" w:rsidRPr="00B54C99">
        <w:t xml:space="preserve"> dans une conception de la territorialité pensée en termes de trajectoire et de compétitivité, et pour laquelle joue à plein la promotion des localités et des singularités. </w:t>
      </w:r>
    </w:p>
    <w:p w14:paraId="45E34C5B" w14:textId="3BF51214" w:rsidR="00576771" w:rsidRDefault="00576771" w:rsidP="00576771">
      <w:pPr>
        <w:pStyle w:val="Titre2"/>
      </w:pPr>
      <w:r>
        <w:t>Pour des pratiques contre-hégémoniques</w:t>
      </w:r>
    </w:p>
    <w:p w14:paraId="01C03FB0" w14:textId="03394914" w:rsidR="00576771" w:rsidRDefault="00C20D2B" w:rsidP="00576771">
      <w:pPr>
        <w:ind w:firstLine="284"/>
        <w:rPr>
          <w:szCs w:val="22"/>
        </w:rPr>
      </w:pPr>
      <w:r>
        <w:t>Une critique radicale de la métropolisation ne peut faire l’écon</w:t>
      </w:r>
      <w:r w:rsidR="000017C2">
        <w:t xml:space="preserve">omie d’une critique radicale de la notion de </w:t>
      </w:r>
      <w:r>
        <w:t>patrimoine et, partant, de la mise au jour des ressorts de la patrimonialisation des pratiques alimentaires exprimée dans les breloques gastronomiques décernées aux Français, aux Bourguignons ou à tout autre entité collective territorialisée et essentialisée</w:t>
      </w:r>
      <w:r w:rsidR="001603C8">
        <w:t xml:space="preserve">. Le scandale que constitue, à mes yeux, l’inscription </w:t>
      </w:r>
      <w:r w:rsidR="00576771">
        <w:t xml:space="preserve">du RGF </w:t>
      </w:r>
      <w:r w:rsidR="001603C8">
        <w:t>sur une liste internationale et la création de cités de la gastronomie réside dans le fait que ces dispositifs dépolitisent</w:t>
      </w:r>
      <w:r w:rsidR="008D3702">
        <w:t xml:space="preserve"> la question de l’alimentation et ne permettent pas véritablement de faire le lien entre le plaisir de se retrouver autour d’une table en toute convivialité et les conditions générale devenues déplorables de notre (même dans les p</w:t>
      </w:r>
      <w:r w:rsidR="00EE4C8F">
        <w:t>ays européens) fait alimentaire. Il est évident</w:t>
      </w:r>
      <w:r w:rsidR="000017C2">
        <w:t>,</w:t>
      </w:r>
      <w:r w:rsidR="00EE4C8F">
        <w:t xml:space="preserve"> compte tenu du contexte général </w:t>
      </w:r>
      <w:r w:rsidR="00E0205E">
        <w:t>d’injustice environnementale, de dégradations diverses, d’empoisonnements aux pesticides</w:t>
      </w:r>
      <w:r w:rsidR="000017C2">
        <w:t xml:space="preserve">, </w:t>
      </w:r>
      <w:r w:rsidR="00E0205E">
        <w:t xml:space="preserve">d’exploitation productiviste forcenée de tout ce qui peut de près ou de loin ressembler à une ressource (qu’elle soit naturelle ou culturelle), </w:t>
      </w:r>
      <w:r w:rsidR="000017C2">
        <w:t xml:space="preserve">et </w:t>
      </w:r>
      <w:r w:rsidR="00F607B2">
        <w:t xml:space="preserve">de généralisation du formatage agro-industriel des aliments, </w:t>
      </w:r>
      <w:r w:rsidR="000017C2">
        <w:t xml:space="preserve">que </w:t>
      </w:r>
      <w:r w:rsidR="00E0205E">
        <w:t xml:space="preserve">le plaisir de se retrouver </w:t>
      </w:r>
      <w:r w:rsidR="00B86B5E">
        <w:t xml:space="preserve">dans une cuisine et </w:t>
      </w:r>
      <w:r w:rsidR="00E0205E">
        <w:t>autour d’une table</w:t>
      </w:r>
      <w:r w:rsidR="00B86B5E">
        <w:t xml:space="preserve">, de faire un repas et </w:t>
      </w:r>
      <w:r w:rsidR="00E0205E">
        <w:t xml:space="preserve">de </w:t>
      </w:r>
      <w:r w:rsidR="00B86B5E">
        <w:t xml:space="preserve">le </w:t>
      </w:r>
      <w:r w:rsidR="00E0205E">
        <w:t>partager ne peut pas ne pas être pensé comme un moyen, non pas de « refaire le monde », mais de faire concrètement un autre monde, fo</w:t>
      </w:r>
      <w:r w:rsidR="00B86B5E">
        <w:t xml:space="preserve">ndé sur une critique radicale </w:t>
      </w:r>
      <w:r w:rsidR="00E0205E">
        <w:t>du cons</w:t>
      </w:r>
      <w:r w:rsidR="00DE7D36">
        <w:t xml:space="preserve">umérisme, et </w:t>
      </w:r>
      <w:r w:rsidR="00576771">
        <w:t xml:space="preserve">sur </w:t>
      </w:r>
      <w:r w:rsidR="00DE7D36">
        <w:t>la prise de conscience que le bon, le sain et le bio ne tombe pas naturellement et indistinctement dans toutes les assiettes</w:t>
      </w:r>
      <w:r w:rsidR="004768A2">
        <w:t>, et en particulier dans celles des classes populaires</w:t>
      </w:r>
      <w:r w:rsidR="004768A2">
        <w:rPr>
          <w:rStyle w:val="Marquenotebasdepage"/>
        </w:rPr>
        <w:footnoteReference w:id="5"/>
      </w:r>
      <w:r w:rsidR="00E0205E">
        <w:t xml:space="preserve">. </w:t>
      </w:r>
      <w:r w:rsidR="00DE7D36">
        <w:t xml:space="preserve">Une célébration, si elle est possible, d’un plaisir du bien manger et du bien boire est à cette condition-là. Contre-culture ? Contre-patrimoine ? Les mots peuvent piéger nos meilleures intentions tant ils sont marqués </w:t>
      </w:r>
      <w:r w:rsidR="003D4E9F">
        <w:t>par</w:t>
      </w:r>
      <w:r w:rsidR="00DE7D36">
        <w:t xml:space="preserve"> toutes les </w:t>
      </w:r>
      <w:r w:rsidR="004768A2">
        <w:t xml:space="preserve">formes de </w:t>
      </w:r>
      <w:r w:rsidR="00DE7D36">
        <w:t>dominations</w:t>
      </w:r>
      <w:r w:rsidR="003D4E9F">
        <w:t xml:space="preserve"> qu’ils ont servies et servent encore</w:t>
      </w:r>
      <w:r w:rsidR="00DE7D36">
        <w:t>, du colonialisme aux grands sentiments humanistes et universalistes</w:t>
      </w:r>
      <w:r w:rsidR="003D4E9F">
        <w:t>, en passant par éloges</w:t>
      </w:r>
      <w:r w:rsidR="005020F1">
        <w:t xml:space="preserve">, la main sur le cœur, des </w:t>
      </w:r>
      <w:r w:rsidR="003D4E9F">
        <w:t>diversité</w:t>
      </w:r>
      <w:r w:rsidR="005020F1">
        <w:t>s</w:t>
      </w:r>
      <w:r w:rsidR="003D4E9F">
        <w:t xml:space="preserve">. À se les approprier, il faut en faire les </w:t>
      </w:r>
      <w:r w:rsidR="005020F1">
        <w:t>arguments forts</w:t>
      </w:r>
      <w:r w:rsidR="003D4E9F">
        <w:t xml:space="preserve"> d’une politique </w:t>
      </w:r>
      <w:r w:rsidR="005020F1">
        <w:t>contr</w:t>
      </w:r>
      <w:r w:rsidR="00910D25">
        <w:t>e</w:t>
      </w:r>
      <w:r w:rsidR="005020F1">
        <w:t xml:space="preserve">-hégémonique et </w:t>
      </w:r>
      <w:r w:rsidR="003D4E9F">
        <w:t>plébéienne</w:t>
      </w:r>
      <w:r w:rsidR="003D4E9F">
        <w:rPr>
          <w:rStyle w:val="Marquenotebasdepage"/>
        </w:rPr>
        <w:footnoteReference w:id="6"/>
      </w:r>
      <w:r w:rsidR="005020F1">
        <w:t xml:space="preserve">, redimensionnant, à partir </w:t>
      </w:r>
      <w:r w:rsidR="00910D25">
        <w:t>de la volonté d’échapper au</w:t>
      </w:r>
      <w:r w:rsidR="00910D25">
        <w:rPr>
          <w:szCs w:val="22"/>
        </w:rPr>
        <w:t xml:space="preserve"> bio</w:t>
      </w:r>
      <w:r w:rsidR="005020F1">
        <w:rPr>
          <w:szCs w:val="22"/>
        </w:rPr>
        <w:t>pouvoir</w:t>
      </w:r>
      <w:r w:rsidR="00910D25">
        <w:rPr>
          <w:szCs w:val="22"/>
        </w:rPr>
        <w:t xml:space="preserve">, d’être aménagé sinon </w:t>
      </w:r>
      <w:r w:rsidR="005020F1">
        <w:rPr>
          <w:szCs w:val="22"/>
        </w:rPr>
        <w:t>d’être gouverné</w:t>
      </w:r>
      <w:r w:rsidR="00910D25">
        <w:rPr>
          <w:szCs w:val="22"/>
        </w:rPr>
        <w:t xml:space="preserve"> et de se rendre insaisissable, nos attentions et nos attachements.</w:t>
      </w:r>
      <w:r w:rsidR="000017C2">
        <w:rPr>
          <w:szCs w:val="22"/>
        </w:rPr>
        <w:t xml:space="preserve"> C’est à cette condition qu’il </w:t>
      </w:r>
      <w:r w:rsidR="00FE233A">
        <w:rPr>
          <w:szCs w:val="22"/>
        </w:rPr>
        <w:t>sera</w:t>
      </w:r>
      <w:r w:rsidR="000017C2">
        <w:rPr>
          <w:szCs w:val="22"/>
        </w:rPr>
        <w:t xml:space="preserve"> alors possible de comprendre ce qui se joue dans des expériences qui, comme celles du quartier libre des Lentillères et de la cantine autogérée La Carotterie, </w:t>
      </w:r>
      <w:r w:rsidR="00370273">
        <w:rPr>
          <w:szCs w:val="22"/>
        </w:rPr>
        <w:t xml:space="preserve">ou la « voie agri-culturelle » expérimentée autour de Mâlain, </w:t>
      </w:r>
      <w:r w:rsidR="000017C2">
        <w:rPr>
          <w:szCs w:val="22"/>
        </w:rPr>
        <w:t xml:space="preserve">proposent, </w:t>
      </w:r>
      <w:r w:rsidR="00370273">
        <w:rPr>
          <w:szCs w:val="22"/>
        </w:rPr>
        <w:t>sur le territoire dijonnais</w:t>
      </w:r>
      <w:r w:rsidR="000017C2">
        <w:rPr>
          <w:szCs w:val="22"/>
        </w:rPr>
        <w:t>, une vision politique de l</w:t>
      </w:r>
      <w:r w:rsidR="00370273">
        <w:rPr>
          <w:szCs w:val="22"/>
        </w:rPr>
        <w:t>’alimentation</w:t>
      </w:r>
      <w:r w:rsidR="000017C2">
        <w:rPr>
          <w:szCs w:val="22"/>
        </w:rPr>
        <w:t xml:space="preserve"> </w:t>
      </w:r>
      <w:r w:rsidR="00370273">
        <w:rPr>
          <w:szCs w:val="22"/>
        </w:rPr>
        <w:t xml:space="preserve">autre </w:t>
      </w:r>
      <w:r w:rsidR="000017C2">
        <w:rPr>
          <w:szCs w:val="22"/>
        </w:rPr>
        <w:t>que celle proposée à la CIGV.</w:t>
      </w:r>
    </w:p>
    <w:p w14:paraId="137E3EBB" w14:textId="77777777" w:rsidR="00576771" w:rsidRDefault="00576771" w:rsidP="00576771">
      <w:pPr>
        <w:ind w:firstLine="284"/>
      </w:pPr>
    </w:p>
    <w:p w14:paraId="783EA7C6" w14:textId="77777777" w:rsidR="0085376C" w:rsidRDefault="0085376C" w:rsidP="00576771">
      <w:pPr>
        <w:ind w:firstLine="284"/>
      </w:pPr>
    </w:p>
    <w:p w14:paraId="13F4A9CA" w14:textId="71088306" w:rsidR="00DE7D36" w:rsidRDefault="00576771" w:rsidP="00576771">
      <w:pPr>
        <w:ind w:firstLine="284"/>
        <w:jc w:val="right"/>
        <w:rPr>
          <w:szCs w:val="22"/>
        </w:rPr>
      </w:pPr>
      <w:r>
        <w:t>Jean-Louis Tornatore</w:t>
      </w:r>
      <w:r w:rsidR="00DE7D36">
        <w:rPr>
          <w:szCs w:val="22"/>
        </w:rPr>
        <w:t xml:space="preserve"> </w:t>
      </w:r>
    </w:p>
    <w:p w14:paraId="6E978133" w14:textId="4DA0EC82" w:rsidR="00576771" w:rsidRDefault="00576771" w:rsidP="00576771">
      <w:pPr>
        <w:ind w:firstLine="284"/>
        <w:jc w:val="right"/>
      </w:pPr>
      <w:r>
        <w:rPr>
          <w:szCs w:val="22"/>
        </w:rPr>
        <w:t>1</w:t>
      </w:r>
      <w:r w:rsidRPr="00576771">
        <w:rPr>
          <w:szCs w:val="22"/>
          <w:vertAlign w:val="superscript"/>
        </w:rPr>
        <w:t>er</w:t>
      </w:r>
      <w:r>
        <w:rPr>
          <w:szCs w:val="22"/>
        </w:rPr>
        <w:t xml:space="preserve"> mai 2018</w:t>
      </w:r>
    </w:p>
    <w:sectPr w:rsidR="00576771" w:rsidSect="00BB647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5DDA" w14:textId="77777777" w:rsidR="00F607B2" w:rsidRDefault="00F607B2" w:rsidP="00A666ED">
      <w:r>
        <w:separator/>
      </w:r>
    </w:p>
  </w:endnote>
  <w:endnote w:type="continuationSeparator" w:id="0">
    <w:p w14:paraId="6667354D" w14:textId="77777777" w:rsidR="00F607B2" w:rsidRDefault="00F607B2" w:rsidP="00A6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altName w:val="Garamond"/>
    <w:panose1 w:val="02020404030301010803"/>
    <w:charset w:val="00"/>
    <w:family w:val="auto"/>
    <w:pitch w:val="variable"/>
    <w:sig w:usb0="00000003" w:usb1="00000000" w:usb2="00000000" w:usb3="00000000" w:csb0="00000001" w:csb1="00000000"/>
  </w:font>
  <w:font w:name="Lucida Grande">
    <w:altName w:val="LuzSans-Book"/>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C07" w14:textId="77777777" w:rsidR="00F607B2" w:rsidRDefault="00F607B2" w:rsidP="00A666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B635A42" w14:textId="77777777" w:rsidR="00F607B2" w:rsidRDefault="00F607B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8506" w14:textId="77777777" w:rsidR="00F607B2" w:rsidRDefault="00F607B2" w:rsidP="00A666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7377D">
      <w:rPr>
        <w:rStyle w:val="Numrodepage"/>
        <w:noProof/>
      </w:rPr>
      <w:t>1</w:t>
    </w:r>
    <w:r>
      <w:rPr>
        <w:rStyle w:val="Numrodepage"/>
      </w:rPr>
      <w:fldChar w:fldCharType="end"/>
    </w:r>
  </w:p>
  <w:p w14:paraId="49442639" w14:textId="77777777" w:rsidR="00F607B2" w:rsidRDefault="00F607B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BF81D" w14:textId="77777777" w:rsidR="00F607B2" w:rsidRDefault="00F607B2" w:rsidP="00A666ED">
      <w:r>
        <w:separator/>
      </w:r>
    </w:p>
  </w:footnote>
  <w:footnote w:type="continuationSeparator" w:id="0">
    <w:p w14:paraId="1D93A052" w14:textId="77777777" w:rsidR="00F607B2" w:rsidRDefault="00F607B2" w:rsidP="00A666ED">
      <w:r>
        <w:continuationSeparator/>
      </w:r>
    </w:p>
  </w:footnote>
  <w:footnote w:id="1">
    <w:p w14:paraId="3883053E" w14:textId="156CEABA" w:rsidR="00F607B2" w:rsidRDefault="00F607B2">
      <w:pPr>
        <w:pStyle w:val="Notedebasdepage"/>
      </w:pPr>
      <w:r>
        <w:rPr>
          <w:rStyle w:val="Marquenotebasdepage"/>
        </w:rPr>
        <w:footnoteRef/>
      </w:r>
      <w:r>
        <w:t xml:space="preserve"> Luc Boltanski et Arnaud Esquerre, </w:t>
      </w:r>
      <w:r w:rsidRPr="002929F5">
        <w:rPr>
          <w:i/>
        </w:rPr>
        <w:t>Enrichissement. Une critique de la marchandise</w:t>
      </w:r>
      <w:r>
        <w:t>, Paris, Gallimard, 2017.</w:t>
      </w:r>
    </w:p>
  </w:footnote>
  <w:footnote w:id="2">
    <w:p w14:paraId="7D1F2884" w14:textId="72630C4B" w:rsidR="00F607B2" w:rsidRDefault="00F607B2">
      <w:pPr>
        <w:pStyle w:val="Notedebasdepage"/>
      </w:pPr>
      <w:r>
        <w:rPr>
          <w:rStyle w:val="Marquenotebasdepage"/>
        </w:rPr>
        <w:footnoteRef/>
      </w:r>
      <w:r>
        <w:t xml:space="preserve"> Je laisse provisoirement de côté un deuxième élément du socle, le patrimoine viticole, </w:t>
      </w:r>
      <w:r w:rsidRPr="00800124">
        <w:rPr>
          <w:i/>
        </w:rPr>
        <w:t>i.e.</w:t>
      </w:r>
      <w:r>
        <w:t xml:space="preserve"> les climats de Bourgogne inscrits en 2015 sur la liste de patrimoine mondial (Convention Unesco de 1972)</w:t>
      </w:r>
      <w:r w:rsidR="000017C2">
        <w:t>.</w:t>
      </w:r>
    </w:p>
  </w:footnote>
  <w:footnote w:id="3">
    <w:p w14:paraId="6DD8A143" w14:textId="77777777" w:rsidR="00F607B2" w:rsidRDefault="00F607B2" w:rsidP="008C74C4">
      <w:pPr>
        <w:pStyle w:val="Notedebasdepage"/>
      </w:pPr>
      <w:r>
        <w:rPr>
          <w:rStyle w:val="Marquenotebasdepage"/>
        </w:rPr>
        <w:footnoteRef/>
      </w:r>
      <w:r>
        <w:t xml:space="preserve"> </w:t>
      </w:r>
      <w:r w:rsidRPr="00DC0951">
        <w:rPr>
          <w:lang w:val="en-US"/>
        </w:rPr>
        <w:t xml:space="preserve">Michaela DeSoucey, « Gastronationalism: Food Traditions and Authenticity Politics in the European Union », </w:t>
      </w:r>
      <w:r w:rsidRPr="00DC0951">
        <w:rPr>
          <w:i/>
          <w:lang w:val="en-US"/>
        </w:rPr>
        <w:t>American Sociological Review</w:t>
      </w:r>
      <w:r w:rsidRPr="00DC0951">
        <w:rPr>
          <w:lang w:val="en-US"/>
        </w:rPr>
        <w:t>, 75(3), 2010, p. 432-455.</w:t>
      </w:r>
    </w:p>
  </w:footnote>
  <w:footnote w:id="4">
    <w:p w14:paraId="4EA86532" w14:textId="1024D67A" w:rsidR="00F607B2" w:rsidRDefault="00F607B2">
      <w:pPr>
        <w:pStyle w:val="Notedebasdepage"/>
      </w:pPr>
      <w:r>
        <w:rPr>
          <w:rStyle w:val="Marquenotebasdepage"/>
        </w:rPr>
        <w:footnoteRef/>
      </w:r>
      <w:r>
        <w:t xml:space="preserve"> David Harvey, </w:t>
      </w:r>
      <w:r w:rsidRPr="00553375">
        <w:rPr>
          <w:i/>
        </w:rPr>
        <w:t>Géographie de la domination</w:t>
      </w:r>
      <w:r>
        <w:t>, Paris, Les Prairies ordinaires, 2008.</w:t>
      </w:r>
    </w:p>
  </w:footnote>
  <w:footnote w:id="5">
    <w:p w14:paraId="5018C649" w14:textId="56259128" w:rsidR="00F607B2" w:rsidRPr="004768A2" w:rsidRDefault="00F607B2">
      <w:pPr>
        <w:pStyle w:val="Notedebasdepage"/>
        <w:rPr>
          <w:lang w:val="en-US"/>
        </w:rPr>
      </w:pPr>
      <w:r w:rsidRPr="004768A2">
        <w:rPr>
          <w:rStyle w:val="Marquenotebasdepage"/>
          <w:lang w:val="en-US"/>
        </w:rPr>
        <w:footnoteRef/>
      </w:r>
      <w:r w:rsidRPr="004768A2">
        <w:rPr>
          <w:lang w:val="en-US"/>
        </w:rPr>
        <w:t xml:space="preserve"> Julie Guthman, « Bringing good food to others: investigating the subject of alternative food practice », </w:t>
      </w:r>
      <w:r w:rsidRPr="003D4E9F">
        <w:rPr>
          <w:i/>
          <w:lang w:val="en-US"/>
        </w:rPr>
        <w:t>Cultural geographies</w:t>
      </w:r>
      <w:r w:rsidRPr="004768A2">
        <w:rPr>
          <w:lang w:val="en-US"/>
        </w:rPr>
        <w:t>, 2008, n°15, p. 431-447.</w:t>
      </w:r>
    </w:p>
  </w:footnote>
  <w:footnote w:id="6">
    <w:p w14:paraId="3E4CBF66" w14:textId="4E2D84ED" w:rsidR="00F607B2" w:rsidRDefault="00F607B2">
      <w:pPr>
        <w:pStyle w:val="Notedebasdepage"/>
      </w:pPr>
      <w:r>
        <w:rPr>
          <w:rStyle w:val="Marquenotebasdepage"/>
        </w:rPr>
        <w:footnoteRef/>
      </w:r>
      <w:r>
        <w:t xml:space="preserve"> </w:t>
      </w:r>
      <w:r w:rsidRPr="00C904F0">
        <w:rPr>
          <w:szCs w:val="22"/>
        </w:rPr>
        <w:t>Brossat</w:t>
      </w:r>
      <w:r>
        <w:rPr>
          <w:szCs w:val="22"/>
        </w:rPr>
        <w:t>,</w:t>
      </w:r>
      <w:r w:rsidRPr="00C904F0">
        <w:rPr>
          <w:szCs w:val="22"/>
        </w:rPr>
        <w:t xml:space="preserve"> Alain, « Pour une politique plébéienne », </w:t>
      </w:r>
      <w:r w:rsidRPr="00C904F0">
        <w:rPr>
          <w:i/>
          <w:szCs w:val="22"/>
        </w:rPr>
        <w:t>Ici et ailleurs. Association pour une philosophie nomade</w:t>
      </w:r>
      <w:r w:rsidRPr="00C904F0">
        <w:rPr>
          <w:szCs w:val="22"/>
        </w:rPr>
        <w:t xml:space="preserve">, </w:t>
      </w:r>
      <w:hyperlink r:id="rId1" w:history="1">
        <w:r w:rsidRPr="00C904F0">
          <w:rPr>
            <w:rStyle w:val="Lienhypertexte"/>
            <w:rFonts w:eastAsiaTheme="minorEastAsia"/>
            <w:szCs w:val="22"/>
          </w:rPr>
          <w:t>http://ici-et-ailleurs.org/spip.php?artcle569</w:t>
        </w:r>
      </w:hyperlink>
      <w:r w:rsidRPr="00C904F0">
        <w:rPr>
          <w:szCs w:val="22"/>
        </w:rPr>
        <w:t>, 2016</w:t>
      </w:r>
      <w:r>
        <w:rPr>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28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9D"/>
    <w:rsid w:val="000017C2"/>
    <w:rsid w:val="00006EF6"/>
    <w:rsid w:val="00012218"/>
    <w:rsid w:val="0007377D"/>
    <w:rsid w:val="00077950"/>
    <w:rsid w:val="000805E2"/>
    <w:rsid w:val="000943FD"/>
    <w:rsid w:val="00095CCD"/>
    <w:rsid w:val="000D4083"/>
    <w:rsid w:val="000F0205"/>
    <w:rsid w:val="001603C8"/>
    <w:rsid w:val="00170026"/>
    <w:rsid w:val="00172B64"/>
    <w:rsid w:val="00190645"/>
    <w:rsid w:val="001A7954"/>
    <w:rsid w:val="001C6791"/>
    <w:rsid w:val="00265587"/>
    <w:rsid w:val="00267AA5"/>
    <w:rsid w:val="002929F5"/>
    <w:rsid w:val="00295B06"/>
    <w:rsid w:val="002D2516"/>
    <w:rsid w:val="002D2B52"/>
    <w:rsid w:val="002E4799"/>
    <w:rsid w:val="00317DA0"/>
    <w:rsid w:val="00370273"/>
    <w:rsid w:val="0037281F"/>
    <w:rsid w:val="003906C5"/>
    <w:rsid w:val="003D4E9F"/>
    <w:rsid w:val="003E3F86"/>
    <w:rsid w:val="003F51C0"/>
    <w:rsid w:val="00447897"/>
    <w:rsid w:val="00474E9A"/>
    <w:rsid w:val="004768A2"/>
    <w:rsid w:val="00485E87"/>
    <w:rsid w:val="004906CD"/>
    <w:rsid w:val="004A2CB9"/>
    <w:rsid w:val="004C0073"/>
    <w:rsid w:val="004C4400"/>
    <w:rsid w:val="005020F1"/>
    <w:rsid w:val="005148D8"/>
    <w:rsid w:val="00515629"/>
    <w:rsid w:val="005306C9"/>
    <w:rsid w:val="0055156E"/>
    <w:rsid w:val="00553375"/>
    <w:rsid w:val="00564443"/>
    <w:rsid w:val="00576771"/>
    <w:rsid w:val="00593409"/>
    <w:rsid w:val="005B05A6"/>
    <w:rsid w:val="005B1DFD"/>
    <w:rsid w:val="005E300B"/>
    <w:rsid w:val="005E5DF7"/>
    <w:rsid w:val="0060210A"/>
    <w:rsid w:val="00623154"/>
    <w:rsid w:val="00625E9A"/>
    <w:rsid w:val="00626433"/>
    <w:rsid w:val="00627CFF"/>
    <w:rsid w:val="006529C2"/>
    <w:rsid w:val="006608E6"/>
    <w:rsid w:val="00670595"/>
    <w:rsid w:val="00673B29"/>
    <w:rsid w:val="00675EC2"/>
    <w:rsid w:val="00677F59"/>
    <w:rsid w:val="006D1EF3"/>
    <w:rsid w:val="006D5A64"/>
    <w:rsid w:val="007357A6"/>
    <w:rsid w:val="00753D44"/>
    <w:rsid w:val="007549A4"/>
    <w:rsid w:val="007D6F37"/>
    <w:rsid w:val="008124DC"/>
    <w:rsid w:val="008237CC"/>
    <w:rsid w:val="00826BDC"/>
    <w:rsid w:val="00836F1B"/>
    <w:rsid w:val="00853553"/>
    <w:rsid w:val="0085376C"/>
    <w:rsid w:val="00861581"/>
    <w:rsid w:val="0088728D"/>
    <w:rsid w:val="008A58B0"/>
    <w:rsid w:val="008C74C4"/>
    <w:rsid w:val="008D3702"/>
    <w:rsid w:val="008D4B9D"/>
    <w:rsid w:val="00910D25"/>
    <w:rsid w:val="0092579A"/>
    <w:rsid w:val="00935E0F"/>
    <w:rsid w:val="0095591E"/>
    <w:rsid w:val="009964A3"/>
    <w:rsid w:val="009A4E66"/>
    <w:rsid w:val="009D6147"/>
    <w:rsid w:val="00A02E45"/>
    <w:rsid w:val="00A14A06"/>
    <w:rsid w:val="00A60FFF"/>
    <w:rsid w:val="00A65013"/>
    <w:rsid w:val="00A65F63"/>
    <w:rsid w:val="00A666ED"/>
    <w:rsid w:val="00AA3DD5"/>
    <w:rsid w:val="00AB2A11"/>
    <w:rsid w:val="00AB6A55"/>
    <w:rsid w:val="00AD28AE"/>
    <w:rsid w:val="00AE0424"/>
    <w:rsid w:val="00B07B7B"/>
    <w:rsid w:val="00B111A3"/>
    <w:rsid w:val="00B3045C"/>
    <w:rsid w:val="00B47FFB"/>
    <w:rsid w:val="00B66429"/>
    <w:rsid w:val="00B8105D"/>
    <w:rsid w:val="00B86B5E"/>
    <w:rsid w:val="00B87079"/>
    <w:rsid w:val="00BA4B52"/>
    <w:rsid w:val="00BB6470"/>
    <w:rsid w:val="00BC1F1B"/>
    <w:rsid w:val="00C058B1"/>
    <w:rsid w:val="00C07569"/>
    <w:rsid w:val="00C20D2B"/>
    <w:rsid w:val="00C46AB9"/>
    <w:rsid w:val="00C50129"/>
    <w:rsid w:val="00C668F1"/>
    <w:rsid w:val="00C737F9"/>
    <w:rsid w:val="00C90C71"/>
    <w:rsid w:val="00CA1694"/>
    <w:rsid w:val="00CC42E0"/>
    <w:rsid w:val="00D10630"/>
    <w:rsid w:val="00D45CF5"/>
    <w:rsid w:val="00D5268C"/>
    <w:rsid w:val="00D65410"/>
    <w:rsid w:val="00D909E6"/>
    <w:rsid w:val="00D95739"/>
    <w:rsid w:val="00DC0951"/>
    <w:rsid w:val="00DC5952"/>
    <w:rsid w:val="00DD4908"/>
    <w:rsid w:val="00DE7D36"/>
    <w:rsid w:val="00DF697F"/>
    <w:rsid w:val="00E0205E"/>
    <w:rsid w:val="00E33EA6"/>
    <w:rsid w:val="00E75D75"/>
    <w:rsid w:val="00E81DC2"/>
    <w:rsid w:val="00EB0F72"/>
    <w:rsid w:val="00EC6106"/>
    <w:rsid w:val="00EC79A5"/>
    <w:rsid w:val="00ED1B2A"/>
    <w:rsid w:val="00EE4C8F"/>
    <w:rsid w:val="00F574A6"/>
    <w:rsid w:val="00F607B2"/>
    <w:rsid w:val="00F7090A"/>
    <w:rsid w:val="00F83FCF"/>
    <w:rsid w:val="00F95BBA"/>
    <w:rsid w:val="00F97B0B"/>
    <w:rsid w:val="00FC03FC"/>
    <w:rsid w:val="00FE233A"/>
    <w:rsid w:val="00FF3B70"/>
    <w:rsid w:val="00FF3C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D4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2D2B52"/>
    <w:pPr>
      <w:widowControl w:val="0"/>
      <w:jc w:val="both"/>
    </w:pPr>
    <w:rPr>
      <w:rFonts w:asciiTheme="majorHAnsi" w:eastAsia="Arial" w:hAnsiTheme="majorHAnsi" w:cs="Times New Roman"/>
      <w:szCs w:val="20"/>
    </w:rPr>
  </w:style>
  <w:style w:type="paragraph" w:styleId="Titre1">
    <w:name w:val="heading 1"/>
    <w:basedOn w:val="Normal"/>
    <w:next w:val="Normal"/>
    <w:link w:val="Titre1Car"/>
    <w:uiPriority w:val="9"/>
    <w:qFormat/>
    <w:rsid w:val="00D65410"/>
    <w:pPr>
      <w:keepNext/>
      <w:keepLines/>
      <w:spacing w:before="480" w:after="840"/>
      <w:jc w:val="center"/>
      <w:outlineLvl w:val="0"/>
    </w:pPr>
    <w:rPr>
      <w:rFonts w:eastAsiaTheme="majorEastAsia" w:cstheme="majorBidi"/>
      <w:bCs/>
      <w:sz w:val="32"/>
      <w:szCs w:val="32"/>
    </w:rPr>
  </w:style>
  <w:style w:type="paragraph" w:styleId="Titre2">
    <w:name w:val="heading 2"/>
    <w:basedOn w:val="Normal"/>
    <w:next w:val="Normal"/>
    <w:link w:val="Titre2Car"/>
    <w:uiPriority w:val="9"/>
    <w:unhideWhenUsed/>
    <w:qFormat/>
    <w:rsid w:val="00E81DC2"/>
    <w:pPr>
      <w:keepNext/>
      <w:keepLines/>
      <w:spacing w:before="240" w:after="120"/>
      <w:outlineLvl w:val="1"/>
    </w:pPr>
    <w:rPr>
      <w:rFonts w:eastAsiaTheme="majorEastAsia" w:cstheme="majorBidi"/>
      <w:b/>
      <w:bCs/>
      <w:szCs w:val="22"/>
    </w:rPr>
  </w:style>
  <w:style w:type="paragraph" w:styleId="Titre3">
    <w:name w:val="heading 3"/>
    <w:basedOn w:val="Normal"/>
    <w:next w:val="Normal"/>
    <w:link w:val="Titre3Car"/>
    <w:uiPriority w:val="9"/>
    <w:unhideWhenUsed/>
    <w:qFormat/>
    <w:rsid w:val="00673B29"/>
    <w:pPr>
      <w:keepNext/>
      <w:keepLines/>
      <w:spacing w:before="240"/>
      <w:ind w:left="284"/>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qFormat/>
    <w:rsid w:val="0037281F"/>
    <w:pPr>
      <w:tabs>
        <w:tab w:val="left" w:pos="284"/>
      </w:tabs>
      <w:suppressAutoHyphens/>
      <w:autoSpaceDE w:val="0"/>
      <w:ind w:left="284" w:hanging="284"/>
    </w:pPr>
    <w:rPr>
      <w:rFonts w:ascii="Calibri" w:eastAsia="Times New Roman" w:hAnsi="Calibri" w:cs="Garamond"/>
      <w:szCs w:val="23"/>
      <w:lang w:eastAsia="ar-SA"/>
    </w:rPr>
  </w:style>
  <w:style w:type="character" w:customStyle="1" w:styleId="Titre2Car">
    <w:name w:val="Titre 2 Car"/>
    <w:basedOn w:val="Policepardfaut"/>
    <w:link w:val="Titre2"/>
    <w:uiPriority w:val="9"/>
    <w:rsid w:val="00E81DC2"/>
    <w:rPr>
      <w:rFonts w:asciiTheme="majorHAnsi" w:eastAsiaTheme="majorEastAsia" w:hAnsiTheme="majorHAnsi" w:cstheme="majorBidi"/>
      <w:b/>
      <w:bCs/>
      <w:szCs w:val="22"/>
    </w:rPr>
  </w:style>
  <w:style w:type="paragraph" w:styleId="Textedebulles">
    <w:name w:val="Balloon Text"/>
    <w:basedOn w:val="Normal"/>
    <w:link w:val="TextedebullesCar"/>
    <w:uiPriority w:val="99"/>
    <w:semiHidden/>
    <w:unhideWhenUsed/>
    <w:rsid w:val="003728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81F"/>
    <w:rPr>
      <w:rFonts w:ascii="Lucida Grande" w:hAnsi="Lucida Grande" w:cs="Lucida Grande"/>
      <w:sz w:val="18"/>
      <w:szCs w:val="18"/>
    </w:rPr>
  </w:style>
  <w:style w:type="character" w:customStyle="1" w:styleId="Titre1Car">
    <w:name w:val="Titre 1 Car"/>
    <w:basedOn w:val="Policepardfaut"/>
    <w:link w:val="Titre1"/>
    <w:uiPriority w:val="9"/>
    <w:rsid w:val="00D65410"/>
    <w:rPr>
      <w:rFonts w:asciiTheme="majorHAnsi" w:eastAsiaTheme="majorEastAsia" w:hAnsiTheme="majorHAnsi" w:cstheme="majorBidi"/>
      <w:bCs/>
      <w:sz w:val="32"/>
      <w:szCs w:val="32"/>
    </w:rPr>
  </w:style>
  <w:style w:type="paragraph" w:styleId="Notedebasdepage">
    <w:name w:val="footnote text"/>
    <w:basedOn w:val="Normal"/>
    <w:link w:val="NotedebasdepageCar"/>
    <w:uiPriority w:val="99"/>
    <w:qFormat/>
    <w:rsid w:val="00673B29"/>
    <w:rPr>
      <w:rFonts w:eastAsia="Times New Roman"/>
      <w:sz w:val="18"/>
    </w:rPr>
  </w:style>
  <w:style w:type="character" w:customStyle="1" w:styleId="NotedebasdepageCar">
    <w:name w:val="Note de bas de page Car"/>
    <w:basedOn w:val="Policepardfaut"/>
    <w:link w:val="Notedebasdepage"/>
    <w:uiPriority w:val="99"/>
    <w:rsid w:val="00673B29"/>
    <w:rPr>
      <w:rFonts w:asciiTheme="majorHAnsi" w:eastAsia="Times New Roman" w:hAnsiTheme="majorHAnsi" w:cs="Times New Roman"/>
      <w:sz w:val="18"/>
      <w:szCs w:val="20"/>
    </w:rPr>
  </w:style>
  <w:style w:type="paragraph" w:styleId="En-tte">
    <w:name w:val="header"/>
    <w:basedOn w:val="Normal"/>
    <w:link w:val="En-tteCar"/>
    <w:uiPriority w:val="99"/>
    <w:unhideWhenUsed/>
    <w:rsid w:val="00A666ED"/>
    <w:pPr>
      <w:tabs>
        <w:tab w:val="center" w:pos="4536"/>
        <w:tab w:val="right" w:pos="9072"/>
      </w:tabs>
    </w:pPr>
  </w:style>
  <w:style w:type="character" w:customStyle="1" w:styleId="En-tteCar">
    <w:name w:val="En-tête Car"/>
    <w:basedOn w:val="Policepardfaut"/>
    <w:link w:val="En-tte"/>
    <w:uiPriority w:val="99"/>
    <w:rsid w:val="00A666ED"/>
    <w:rPr>
      <w:rFonts w:asciiTheme="majorHAnsi" w:eastAsia="Arial" w:hAnsiTheme="majorHAnsi" w:cs="Times New Roman"/>
      <w:sz w:val="22"/>
      <w:szCs w:val="20"/>
    </w:rPr>
  </w:style>
  <w:style w:type="paragraph" w:styleId="Pieddepage">
    <w:name w:val="footer"/>
    <w:basedOn w:val="Normal"/>
    <w:link w:val="PieddepageCar"/>
    <w:uiPriority w:val="99"/>
    <w:unhideWhenUsed/>
    <w:rsid w:val="00A666ED"/>
    <w:pPr>
      <w:tabs>
        <w:tab w:val="center" w:pos="4536"/>
        <w:tab w:val="right" w:pos="9072"/>
      </w:tabs>
    </w:pPr>
  </w:style>
  <w:style w:type="character" w:customStyle="1" w:styleId="PieddepageCar">
    <w:name w:val="Pied de page Car"/>
    <w:basedOn w:val="Policepardfaut"/>
    <w:link w:val="Pieddepage"/>
    <w:uiPriority w:val="99"/>
    <w:rsid w:val="00A666ED"/>
    <w:rPr>
      <w:rFonts w:asciiTheme="majorHAnsi" w:eastAsia="Arial" w:hAnsiTheme="majorHAnsi" w:cs="Times New Roman"/>
      <w:sz w:val="22"/>
      <w:szCs w:val="20"/>
    </w:rPr>
  </w:style>
  <w:style w:type="character" w:styleId="Numrodepage">
    <w:name w:val="page number"/>
    <w:basedOn w:val="Policepardfaut"/>
    <w:uiPriority w:val="99"/>
    <w:semiHidden/>
    <w:unhideWhenUsed/>
    <w:rsid w:val="00A666ED"/>
  </w:style>
  <w:style w:type="character" w:customStyle="1" w:styleId="Titre3Car">
    <w:name w:val="Titre 3 Car"/>
    <w:basedOn w:val="Policepardfaut"/>
    <w:link w:val="Titre3"/>
    <w:uiPriority w:val="9"/>
    <w:rsid w:val="00673B29"/>
    <w:rPr>
      <w:rFonts w:asciiTheme="majorHAnsi" w:eastAsiaTheme="majorEastAsia" w:hAnsiTheme="majorHAnsi" w:cstheme="majorBidi"/>
      <w:b/>
      <w:bCs/>
      <w:color w:val="4F81BD" w:themeColor="accent1"/>
      <w:sz w:val="22"/>
      <w:szCs w:val="20"/>
    </w:rPr>
  </w:style>
  <w:style w:type="character" w:styleId="Marquenotebasdepage">
    <w:name w:val="footnote reference"/>
    <w:basedOn w:val="Policepardfaut"/>
    <w:unhideWhenUsed/>
    <w:rsid w:val="00673B29"/>
    <w:rPr>
      <w:vertAlign w:val="superscript"/>
    </w:rPr>
  </w:style>
  <w:style w:type="character" w:styleId="Accentuation">
    <w:name w:val="Emphasis"/>
    <w:basedOn w:val="Policepardfaut"/>
    <w:uiPriority w:val="20"/>
    <w:qFormat/>
    <w:rsid w:val="006529C2"/>
    <w:rPr>
      <w:i/>
      <w:iCs/>
    </w:rPr>
  </w:style>
  <w:style w:type="character" w:customStyle="1" w:styleId="Caractresdenotedebasdepage">
    <w:name w:val="Caractères de note de bas de page"/>
    <w:rsid w:val="00F97B0B"/>
    <w:rPr>
      <w:vertAlign w:val="superscript"/>
    </w:rPr>
  </w:style>
  <w:style w:type="character" w:styleId="Lienhypertexte">
    <w:name w:val="Hyperlink"/>
    <w:basedOn w:val="Policepardfaut"/>
    <w:uiPriority w:val="99"/>
    <w:semiHidden/>
    <w:unhideWhenUsed/>
    <w:rsid w:val="006608E6"/>
    <w:rPr>
      <w:color w:val="0000FF"/>
      <w:u w:val="single"/>
    </w:rPr>
  </w:style>
  <w:style w:type="paragraph" w:styleId="Explorateurdedocument">
    <w:name w:val="Document Map"/>
    <w:basedOn w:val="Normal"/>
    <w:link w:val="ExplorateurdedocumentCar"/>
    <w:uiPriority w:val="99"/>
    <w:semiHidden/>
    <w:unhideWhenUsed/>
    <w:rsid w:val="00E81DC2"/>
    <w:rPr>
      <w:rFonts w:ascii="Lucida Grande" w:hAnsi="Lucida Grande" w:cs="Lucida Grande"/>
      <w:szCs w:val="24"/>
    </w:rPr>
  </w:style>
  <w:style w:type="character" w:customStyle="1" w:styleId="ExplorateurdedocumentCar">
    <w:name w:val="Explorateur de document Car"/>
    <w:basedOn w:val="Policepardfaut"/>
    <w:link w:val="Explorateurdedocument"/>
    <w:uiPriority w:val="99"/>
    <w:semiHidden/>
    <w:rsid w:val="00E81DC2"/>
    <w:rPr>
      <w:rFonts w:ascii="Lucida Grande" w:eastAsia="Arial"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2D2B52"/>
    <w:pPr>
      <w:widowControl w:val="0"/>
      <w:jc w:val="both"/>
    </w:pPr>
    <w:rPr>
      <w:rFonts w:asciiTheme="majorHAnsi" w:eastAsia="Arial" w:hAnsiTheme="majorHAnsi" w:cs="Times New Roman"/>
      <w:szCs w:val="20"/>
    </w:rPr>
  </w:style>
  <w:style w:type="paragraph" w:styleId="Titre1">
    <w:name w:val="heading 1"/>
    <w:basedOn w:val="Normal"/>
    <w:next w:val="Normal"/>
    <w:link w:val="Titre1Car"/>
    <w:uiPriority w:val="9"/>
    <w:qFormat/>
    <w:rsid w:val="00D65410"/>
    <w:pPr>
      <w:keepNext/>
      <w:keepLines/>
      <w:spacing w:before="480" w:after="840"/>
      <w:jc w:val="center"/>
      <w:outlineLvl w:val="0"/>
    </w:pPr>
    <w:rPr>
      <w:rFonts w:eastAsiaTheme="majorEastAsia" w:cstheme="majorBidi"/>
      <w:bCs/>
      <w:sz w:val="32"/>
      <w:szCs w:val="32"/>
    </w:rPr>
  </w:style>
  <w:style w:type="paragraph" w:styleId="Titre2">
    <w:name w:val="heading 2"/>
    <w:basedOn w:val="Normal"/>
    <w:next w:val="Normal"/>
    <w:link w:val="Titre2Car"/>
    <w:uiPriority w:val="9"/>
    <w:unhideWhenUsed/>
    <w:qFormat/>
    <w:rsid w:val="00E81DC2"/>
    <w:pPr>
      <w:keepNext/>
      <w:keepLines/>
      <w:spacing w:before="240" w:after="120"/>
      <w:outlineLvl w:val="1"/>
    </w:pPr>
    <w:rPr>
      <w:rFonts w:eastAsiaTheme="majorEastAsia" w:cstheme="majorBidi"/>
      <w:b/>
      <w:bCs/>
      <w:szCs w:val="22"/>
    </w:rPr>
  </w:style>
  <w:style w:type="paragraph" w:styleId="Titre3">
    <w:name w:val="heading 3"/>
    <w:basedOn w:val="Normal"/>
    <w:next w:val="Normal"/>
    <w:link w:val="Titre3Car"/>
    <w:uiPriority w:val="9"/>
    <w:unhideWhenUsed/>
    <w:qFormat/>
    <w:rsid w:val="00673B29"/>
    <w:pPr>
      <w:keepNext/>
      <w:keepLines/>
      <w:spacing w:before="240"/>
      <w:ind w:left="284"/>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qFormat/>
    <w:rsid w:val="0037281F"/>
    <w:pPr>
      <w:tabs>
        <w:tab w:val="left" w:pos="284"/>
      </w:tabs>
      <w:suppressAutoHyphens/>
      <w:autoSpaceDE w:val="0"/>
      <w:ind w:left="284" w:hanging="284"/>
    </w:pPr>
    <w:rPr>
      <w:rFonts w:ascii="Calibri" w:eastAsia="Times New Roman" w:hAnsi="Calibri" w:cs="Garamond"/>
      <w:szCs w:val="23"/>
      <w:lang w:eastAsia="ar-SA"/>
    </w:rPr>
  </w:style>
  <w:style w:type="character" w:customStyle="1" w:styleId="Titre2Car">
    <w:name w:val="Titre 2 Car"/>
    <w:basedOn w:val="Policepardfaut"/>
    <w:link w:val="Titre2"/>
    <w:uiPriority w:val="9"/>
    <w:rsid w:val="00E81DC2"/>
    <w:rPr>
      <w:rFonts w:asciiTheme="majorHAnsi" w:eastAsiaTheme="majorEastAsia" w:hAnsiTheme="majorHAnsi" w:cstheme="majorBidi"/>
      <w:b/>
      <w:bCs/>
      <w:szCs w:val="22"/>
    </w:rPr>
  </w:style>
  <w:style w:type="paragraph" w:styleId="Textedebulles">
    <w:name w:val="Balloon Text"/>
    <w:basedOn w:val="Normal"/>
    <w:link w:val="TextedebullesCar"/>
    <w:uiPriority w:val="99"/>
    <w:semiHidden/>
    <w:unhideWhenUsed/>
    <w:rsid w:val="003728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81F"/>
    <w:rPr>
      <w:rFonts w:ascii="Lucida Grande" w:hAnsi="Lucida Grande" w:cs="Lucida Grande"/>
      <w:sz w:val="18"/>
      <w:szCs w:val="18"/>
    </w:rPr>
  </w:style>
  <w:style w:type="character" w:customStyle="1" w:styleId="Titre1Car">
    <w:name w:val="Titre 1 Car"/>
    <w:basedOn w:val="Policepardfaut"/>
    <w:link w:val="Titre1"/>
    <w:uiPriority w:val="9"/>
    <w:rsid w:val="00D65410"/>
    <w:rPr>
      <w:rFonts w:asciiTheme="majorHAnsi" w:eastAsiaTheme="majorEastAsia" w:hAnsiTheme="majorHAnsi" w:cstheme="majorBidi"/>
      <w:bCs/>
      <w:sz w:val="32"/>
      <w:szCs w:val="32"/>
    </w:rPr>
  </w:style>
  <w:style w:type="paragraph" w:styleId="Notedebasdepage">
    <w:name w:val="footnote text"/>
    <w:basedOn w:val="Normal"/>
    <w:link w:val="NotedebasdepageCar"/>
    <w:uiPriority w:val="99"/>
    <w:qFormat/>
    <w:rsid w:val="00673B29"/>
    <w:rPr>
      <w:rFonts w:eastAsia="Times New Roman"/>
      <w:sz w:val="18"/>
    </w:rPr>
  </w:style>
  <w:style w:type="character" w:customStyle="1" w:styleId="NotedebasdepageCar">
    <w:name w:val="Note de bas de page Car"/>
    <w:basedOn w:val="Policepardfaut"/>
    <w:link w:val="Notedebasdepage"/>
    <w:uiPriority w:val="99"/>
    <w:rsid w:val="00673B29"/>
    <w:rPr>
      <w:rFonts w:asciiTheme="majorHAnsi" w:eastAsia="Times New Roman" w:hAnsiTheme="majorHAnsi" w:cs="Times New Roman"/>
      <w:sz w:val="18"/>
      <w:szCs w:val="20"/>
    </w:rPr>
  </w:style>
  <w:style w:type="paragraph" w:styleId="En-tte">
    <w:name w:val="header"/>
    <w:basedOn w:val="Normal"/>
    <w:link w:val="En-tteCar"/>
    <w:uiPriority w:val="99"/>
    <w:unhideWhenUsed/>
    <w:rsid w:val="00A666ED"/>
    <w:pPr>
      <w:tabs>
        <w:tab w:val="center" w:pos="4536"/>
        <w:tab w:val="right" w:pos="9072"/>
      </w:tabs>
    </w:pPr>
  </w:style>
  <w:style w:type="character" w:customStyle="1" w:styleId="En-tteCar">
    <w:name w:val="En-tête Car"/>
    <w:basedOn w:val="Policepardfaut"/>
    <w:link w:val="En-tte"/>
    <w:uiPriority w:val="99"/>
    <w:rsid w:val="00A666ED"/>
    <w:rPr>
      <w:rFonts w:asciiTheme="majorHAnsi" w:eastAsia="Arial" w:hAnsiTheme="majorHAnsi" w:cs="Times New Roman"/>
      <w:sz w:val="22"/>
      <w:szCs w:val="20"/>
    </w:rPr>
  </w:style>
  <w:style w:type="paragraph" w:styleId="Pieddepage">
    <w:name w:val="footer"/>
    <w:basedOn w:val="Normal"/>
    <w:link w:val="PieddepageCar"/>
    <w:uiPriority w:val="99"/>
    <w:unhideWhenUsed/>
    <w:rsid w:val="00A666ED"/>
    <w:pPr>
      <w:tabs>
        <w:tab w:val="center" w:pos="4536"/>
        <w:tab w:val="right" w:pos="9072"/>
      </w:tabs>
    </w:pPr>
  </w:style>
  <w:style w:type="character" w:customStyle="1" w:styleId="PieddepageCar">
    <w:name w:val="Pied de page Car"/>
    <w:basedOn w:val="Policepardfaut"/>
    <w:link w:val="Pieddepage"/>
    <w:uiPriority w:val="99"/>
    <w:rsid w:val="00A666ED"/>
    <w:rPr>
      <w:rFonts w:asciiTheme="majorHAnsi" w:eastAsia="Arial" w:hAnsiTheme="majorHAnsi" w:cs="Times New Roman"/>
      <w:sz w:val="22"/>
      <w:szCs w:val="20"/>
    </w:rPr>
  </w:style>
  <w:style w:type="character" w:styleId="Numrodepage">
    <w:name w:val="page number"/>
    <w:basedOn w:val="Policepardfaut"/>
    <w:uiPriority w:val="99"/>
    <w:semiHidden/>
    <w:unhideWhenUsed/>
    <w:rsid w:val="00A666ED"/>
  </w:style>
  <w:style w:type="character" w:customStyle="1" w:styleId="Titre3Car">
    <w:name w:val="Titre 3 Car"/>
    <w:basedOn w:val="Policepardfaut"/>
    <w:link w:val="Titre3"/>
    <w:uiPriority w:val="9"/>
    <w:rsid w:val="00673B29"/>
    <w:rPr>
      <w:rFonts w:asciiTheme="majorHAnsi" w:eastAsiaTheme="majorEastAsia" w:hAnsiTheme="majorHAnsi" w:cstheme="majorBidi"/>
      <w:b/>
      <w:bCs/>
      <w:color w:val="4F81BD" w:themeColor="accent1"/>
      <w:sz w:val="22"/>
      <w:szCs w:val="20"/>
    </w:rPr>
  </w:style>
  <w:style w:type="character" w:styleId="Marquenotebasdepage">
    <w:name w:val="footnote reference"/>
    <w:basedOn w:val="Policepardfaut"/>
    <w:unhideWhenUsed/>
    <w:rsid w:val="00673B29"/>
    <w:rPr>
      <w:vertAlign w:val="superscript"/>
    </w:rPr>
  </w:style>
  <w:style w:type="character" w:styleId="Accentuation">
    <w:name w:val="Emphasis"/>
    <w:basedOn w:val="Policepardfaut"/>
    <w:uiPriority w:val="20"/>
    <w:qFormat/>
    <w:rsid w:val="006529C2"/>
    <w:rPr>
      <w:i/>
      <w:iCs/>
    </w:rPr>
  </w:style>
  <w:style w:type="character" w:customStyle="1" w:styleId="Caractresdenotedebasdepage">
    <w:name w:val="Caractères de note de bas de page"/>
    <w:rsid w:val="00F97B0B"/>
    <w:rPr>
      <w:vertAlign w:val="superscript"/>
    </w:rPr>
  </w:style>
  <w:style w:type="character" w:styleId="Lienhypertexte">
    <w:name w:val="Hyperlink"/>
    <w:basedOn w:val="Policepardfaut"/>
    <w:uiPriority w:val="99"/>
    <w:semiHidden/>
    <w:unhideWhenUsed/>
    <w:rsid w:val="006608E6"/>
    <w:rPr>
      <w:color w:val="0000FF"/>
      <w:u w:val="single"/>
    </w:rPr>
  </w:style>
  <w:style w:type="paragraph" w:styleId="Explorateurdedocument">
    <w:name w:val="Document Map"/>
    <w:basedOn w:val="Normal"/>
    <w:link w:val="ExplorateurdedocumentCar"/>
    <w:uiPriority w:val="99"/>
    <w:semiHidden/>
    <w:unhideWhenUsed/>
    <w:rsid w:val="00E81DC2"/>
    <w:rPr>
      <w:rFonts w:ascii="Lucida Grande" w:hAnsi="Lucida Grande" w:cs="Lucida Grande"/>
      <w:szCs w:val="24"/>
    </w:rPr>
  </w:style>
  <w:style w:type="character" w:customStyle="1" w:styleId="ExplorateurdedocumentCar">
    <w:name w:val="Explorateur de document Car"/>
    <w:basedOn w:val="Policepardfaut"/>
    <w:link w:val="Explorateurdedocument"/>
    <w:uiPriority w:val="99"/>
    <w:semiHidden/>
    <w:rsid w:val="00E81DC2"/>
    <w:rPr>
      <w:rFonts w:ascii="Lucida Grande" w:eastAsia="Arial"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ici-et-ailleurs.org/spip.php?artcle56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BB8A-4521-394F-A647-5ADF2AC577E6}">
  <ds:schemaRefs>
    <ds:schemaRef ds:uri="http://schemas.openxmlformats.org/officeDocument/2006/bibliography"/>
  </ds:schemaRefs>
</ds:datastoreItem>
</file>